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250"/>
        <w:gridCol w:w="1350"/>
        <w:gridCol w:w="1080"/>
        <w:gridCol w:w="1080"/>
        <w:gridCol w:w="1260"/>
        <w:gridCol w:w="1350"/>
        <w:gridCol w:w="3150"/>
      </w:tblGrid>
      <w:tr w:rsidR="00E04435" w:rsidTr="00355521">
        <w:trPr>
          <w:trHeight w:val="980"/>
        </w:trPr>
        <w:tc>
          <w:tcPr>
            <w:tcW w:w="13315" w:type="dxa"/>
            <w:gridSpan w:val="8"/>
            <w:shd w:val="clear" w:color="auto" w:fill="C5E0B3" w:themeFill="accent6" w:themeFillTint="66"/>
          </w:tcPr>
          <w:p w:rsidR="00E04435" w:rsidRPr="00740673" w:rsidRDefault="00E04435" w:rsidP="00E04435">
            <w:pPr>
              <w:rPr>
                <w:b/>
                <w:sz w:val="36"/>
                <w:szCs w:val="36"/>
              </w:rPr>
            </w:pPr>
            <w:r w:rsidRPr="00740673">
              <w:rPr>
                <w:b/>
                <w:sz w:val="36"/>
                <w:szCs w:val="36"/>
              </w:rPr>
              <w:t>Table Of Outcome Measures Used in Constraint Induced Movement and Bimanual Intensive Training Research</w:t>
            </w:r>
          </w:p>
        </w:tc>
      </w:tr>
      <w:tr w:rsidR="00355521" w:rsidTr="00355521">
        <w:trPr>
          <w:trHeight w:val="980"/>
        </w:trPr>
        <w:tc>
          <w:tcPr>
            <w:tcW w:w="1795" w:type="dxa"/>
            <w:shd w:val="clear" w:color="auto" w:fill="BDD6EE" w:themeFill="accent1" w:themeFillTint="66"/>
          </w:tcPr>
          <w:p w:rsidR="00E23E8E" w:rsidRPr="003528B8" w:rsidRDefault="00E23E8E">
            <w:pPr>
              <w:rPr>
                <w:b/>
                <w:sz w:val="24"/>
                <w:szCs w:val="24"/>
              </w:rPr>
            </w:pPr>
            <w:r w:rsidRPr="003528B8">
              <w:rPr>
                <w:b/>
                <w:sz w:val="24"/>
                <w:szCs w:val="24"/>
              </w:rPr>
              <w:t>Outcome Measure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E23E8E" w:rsidRPr="003528B8" w:rsidRDefault="00E23E8E">
            <w:pPr>
              <w:rPr>
                <w:b/>
                <w:sz w:val="24"/>
                <w:szCs w:val="24"/>
              </w:rPr>
            </w:pPr>
            <w:r w:rsidRPr="003528B8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E23E8E" w:rsidRPr="003528B8" w:rsidRDefault="00E23E8E">
            <w:pPr>
              <w:rPr>
                <w:b/>
                <w:sz w:val="24"/>
                <w:szCs w:val="24"/>
              </w:rPr>
            </w:pPr>
            <w:r w:rsidRPr="003528B8">
              <w:rPr>
                <w:b/>
                <w:sz w:val="24"/>
                <w:szCs w:val="24"/>
              </w:rPr>
              <w:t>Time to administer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E23E8E" w:rsidRPr="003528B8" w:rsidRDefault="00E23E8E">
            <w:pPr>
              <w:rPr>
                <w:b/>
                <w:sz w:val="24"/>
                <w:szCs w:val="24"/>
              </w:rPr>
            </w:pPr>
            <w:r w:rsidRPr="003528B8">
              <w:rPr>
                <w:b/>
                <w:sz w:val="24"/>
                <w:szCs w:val="24"/>
              </w:rPr>
              <w:t>Reliable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E23E8E" w:rsidRPr="003528B8" w:rsidRDefault="00E23E8E">
            <w:pPr>
              <w:rPr>
                <w:b/>
                <w:sz w:val="24"/>
                <w:szCs w:val="24"/>
              </w:rPr>
            </w:pPr>
            <w:r w:rsidRPr="003528B8">
              <w:rPr>
                <w:b/>
                <w:sz w:val="24"/>
                <w:szCs w:val="24"/>
              </w:rPr>
              <w:t>Valid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E23E8E" w:rsidRPr="003528B8" w:rsidRDefault="00E23E8E">
            <w:pPr>
              <w:rPr>
                <w:b/>
                <w:sz w:val="24"/>
                <w:szCs w:val="24"/>
              </w:rPr>
            </w:pPr>
            <w:r w:rsidRPr="003528B8">
              <w:rPr>
                <w:b/>
                <w:sz w:val="24"/>
                <w:szCs w:val="24"/>
              </w:rPr>
              <w:t>Special training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E23E8E" w:rsidRPr="003528B8" w:rsidRDefault="00E23E8E">
            <w:pPr>
              <w:rPr>
                <w:b/>
                <w:sz w:val="24"/>
                <w:szCs w:val="24"/>
              </w:rPr>
            </w:pPr>
            <w:r w:rsidRPr="003528B8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150" w:type="dxa"/>
            <w:shd w:val="clear" w:color="auto" w:fill="BDD6EE" w:themeFill="accent1" w:themeFillTint="66"/>
          </w:tcPr>
          <w:p w:rsidR="00E23E8E" w:rsidRPr="003528B8" w:rsidRDefault="00352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Obtain</w:t>
            </w:r>
          </w:p>
        </w:tc>
      </w:tr>
      <w:tr w:rsidR="00A224EB" w:rsidRPr="00740673" w:rsidTr="00355521">
        <w:trPr>
          <w:trHeight w:val="1430"/>
        </w:trPr>
        <w:tc>
          <w:tcPr>
            <w:tcW w:w="1795" w:type="dxa"/>
            <w:shd w:val="clear" w:color="auto" w:fill="BDD6EE" w:themeFill="accent1" w:themeFillTint="66"/>
          </w:tcPr>
          <w:p w:rsidR="00E23E8E" w:rsidRPr="00740673" w:rsidRDefault="00E23E8E" w:rsidP="00E23E8E">
            <w:pPr>
              <w:rPr>
                <w:b/>
              </w:rPr>
            </w:pPr>
            <w:r w:rsidRPr="00740673">
              <w:rPr>
                <w:b/>
              </w:rPr>
              <w:t>Assisting Hand Assessment (AHA)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23E8E" w:rsidRPr="00740673" w:rsidRDefault="004062F8" w:rsidP="004062F8">
            <w:r>
              <w:t xml:space="preserve">Test of hand function in children 18 </w:t>
            </w:r>
            <w:proofErr w:type="spellStart"/>
            <w:r>
              <w:t>mos</w:t>
            </w:r>
            <w:proofErr w:type="spellEnd"/>
            <w:r>
              <w:t xml:space="preserve"> to 12 </w:t>
            </w:r>
            <w:proofErr w:type="spellStart"/>
            <w:r>
              <w:t>yo</w:t>
            </w:r>
            <w:proofErr w:type="spellEnd"/>
            <w:r>
              <w:t xml:space="preserve"> with difficulties using one of their hands. The AHA measures how effectively the affected hand and arm is used in bimanual performance.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Pr="00740673" w:rsidRDefault="00030D7A">
            <w:r>
              <w:t>15 minutes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3528B8">
            <w:r>
              <w:t>Y</w:t>
            </w:r>
            <w:r w:rsidR="00E23E8E" w:rsidRPr="00740673">
              <w:t>es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3528B8">
            <w:r>
              <w:t>Y</w:t>
            </w:r>
            <w:r w:rsidR="00E23E8E" w:rsidRPr="00740673">
              <w:t>es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E23E8E" w:rsidRPr="00740673" w:rsidRDefault="00030D7A">
            <w:r w:rsidRPr="00740673">
              <w:t>Y</w:t>
            </w:r>
            <w:r w:rsidR="00E23E8E" w:rsidRPr="00740673">
              <w:t>es</w:t>
            </w:r>
            <w:r>
              <w:t>-3 day training with a test which must be passed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Pr="00740673" w:rsidRDefault="00917CE4">
            <w:r>
              <w:t>Estimated at &gt; $1000 including training and testing supplies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23E8E" w:rsidRPr="00740673" w:rsidRDefault="00E23E8E">
            <w:r w:rsidRPr="00740673">
              <w:t>www.ahanetwork.se</w:t>
            </w:r>
          </w:p>
        </w:tc>
      </w:tr>
      <w:tr w:rsidR="00A224EB" w:rsidRPr="00740673" w:rsidTr="00355521">
        <w:tc>
          <w:tcPr>
            <w:tcW w:w="1795" w:type="dxa"/>
            <w:shd w:val="clear" w:color="auto" w:fill="BDD6EE" w:themeFill="accent1" w:themeFillTint="66"/>
          </w:tcPr>
          <w:p w:rsidR="00E23E8E" w:rsidRPr="00740673" w:rsidRDefault="00E23E8E">
            <w:pPr>
              <w:rPr>
                <w:b/>
              </w:rPr>
            </w:pPr>
            <w:r w:rsidRPr="00740673">
              <w:rPr>
                <w:b/>
              </w:rPr>
              <w:t xml:space="preserve">Melbourne Assessment of Unilateral Upper Limb Function (MUUL) </w:t>
            </w:r>
          </w:p>
          <w:p w:rsidR="005D331F" w:rsidRPr="00740673" w:rsidRDefault="005D331F">
            <w:pPr>
              <w:rPr>
                <w:b/>
              </w:rPr>
            </w:pPr>
            <w:r w:rsidRPr="00740673">
              <w:rPr>
                <w:b/>
              </w:rPr>
              <w:t>Now MA2 (updated</w:t>
            </w:r>
            <w:r w:rsidR="003528B8">
              <w:rPr>
                <w:b/>
              </w:rPr>
              <w:t xml:space="preserve"> version</w:t>
            </w:r>
            <w:r w:rsidRPr="00740673">
              <w:rPr>
                <w:b/>
              </w:rPr>
              <w:t>)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04435" w:rsidRPr="00740673" w:rsidRDefault="005D331F" w:rsidP="00E04435">
            <w:pPr>
              <w:autoSpaceDE w:val="0"/>
              <w:autoSpaceDN w:val="0"/>
              <w:adjustRightInd w:val="0"/>
              <w:rPr>
                <w:rFonts w:cs="GaramondITCbyBT-Book"/>
                <w:sz w:val="20"/>
                <w:szCs w:val="20"/>
              </w:rPr>
            </w:pPr>
            <w:r w:rsidRPr="00740673">
              <w:rPr>
                <w:rFonts w:cs="GaramondITCbyBT-Book"/>
                <w:sz w:val="20"/>
                <w:szCs w:val="20"/>
              </w:rPr>
              <w:t>M</w:t>
            </w:r>
            <w:r w:rsidR="00E04435" w:rsidRPr="00740673">
              <w:rPr>
                <w:rFonts w:cs="GaramondITCbyBT-Book"/>
                <w:sz w:val="20"/>
                <w:szCs w:val="20"/>
              </w:rPr>
              <w:t>easures unilateral upper-extremity</w:t>
            </w:r>
          </w:p>
          <w:p w:rsidR="00E23E8E" w:rsidRPr="00740673" w:rsidRDefault="00427E05" w:rsidP="006D038B">
            <w:pPr>
              <w:rPr>
                <w:sz w:val="24"/>
                <w:szCs w:val="24"/>
              </w:rPr>
            </w:pPr>
            <w:r>
              <w:rPr>
                <w:rFonts w:cs="GaramondITCbyBT-Book"/>
                <w:sz w:val="20"/>
                <w:szCs w:val="20"/>
              </w:rPr>
              <w:t>quality</w:t>
            </w:r>
            <w:r w:rsidR="00E04435" w:rsidRPr="00740673">
              <w:rPr>
                <w:rFonts w:cs="GaramondITCbyBT-Book"/>
                <w:sz w:val="20"/>
                <w:szCs w:val="20"/>
              </w:rPr>
              <w:t xml:space="preserve"> of movement in children from </w:t>
            </w:r>
            <w:r w:rsidR="006D038B">
              <w:rPr>
                <w:rFonts w:cs="GaramondITCbyBT-Book"/>
                <w:sz w:val="20"/>
                <w:szCs w:val="20"/>
              </w:rPr>
              <w:t>2.5</w:t>
            </w:r>
            <w:r w:rsidR="00E04435" w:rsidRPr="00740673">
              <w:rPr>
                <w:rFonts w:cs="GaramondITCbyBT-Book"/>
                <w:sz w:val="20"/>
                <w:szCs w:val="20"/>
              </w:rPr>
              <w:t xml:space="preserve"> to 15 years of age</w:t>
            </w:r>
            <w:r w:rsidR="004062F8">
              <w:rPr>
                <w:rFonts w:cs="GaramondITCbyBT-Book"/>
                <w:sz w:val="20"/>
                <w:szCs w:val="20"/>
              </w:rPr>
              <w:t xml:space="preserve"> i</w:t>
            </w:r>
            <w:r w:rsidR="00BA0EE2" w:rsidRPr="00740673">
              <w:rPr>
                <w:rFonts w:cs="GaramondITCbyBT-Book"/>
                <w:sz w:val="20"/>
                <w:szCs w:val="20"/>
              </w:rPr>
              <w:t>n 4 areas</w:t>
            </w:r>
            <w:r w:rsidR="00E04435" w:rsidRPr="00740673">
              <w:rPr>
                <w:color w:val="485560"/>
                <w:sz w:val="20"/>
                <w:szCs w:val="20"/>
              </w:rPr>
              <w:t>: movement range, accuracy, dexterity and fluency. It compri</w:t>
            </w:r>
            <w:r w:rsidR="00BA0EE2" w:rsidRPr="00740673">
              <w:rPr>
                <w:color w:val="485560"/>
                <w:sz w:val="20"/>
                <w:szCs w:val="20"/>
              </w:rPr>
              <w:t>ses reaching</w:t>
            </w:r>
            <w:r w:rsidR="00E04435" w:rsidRPr="00740673">
              <w:rPr>
                <w:color w:val="485560"/>
                <w:sz w:val="20"/>
                <w:szCs w:val="20"/>
              </w:rPr>
              <w:t>, grasping, releasing and manipulating simple objects.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Pr="00740673" w:rsidRDefault="00A76F67" w:rsidP="00A76F67">
            <w:r>
              <w:t>45-60 minutes estimated as test must be videotaped,  then scored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3528B8">
            <w:r>
              <w:t>Y</w:t>
            </w:r>
            <w:r w:rsidR="00E04435" w:rsidRPr="00740673">
              <w:t>es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3528B8">
            <w:r>
              <w:t>Y</w:t>
            </w:r>
            <w:r w:rsidR="00E04435" w:rsidRPr="00740673">
              <w:t>es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E23E8E" w:rsidRPr="00740673" w:rsidRDefault="005D331F">
            <w:r w:rsidRPr="00740673">
              <w:t>No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Pr="00740673" w:rsidRDefault="00E04435">
            <w:r w:rsidRPr="00740673">
              <w:t>$940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BA0EE2" w:rsidRPr="00740673" w:rsidRDefault="001D43E7" w:rsidP="005D331F">
            <w:hyperlink r:id="rId5" w:history="1">
              <w:r w:rsidR="003528B8" w:rsidRPr="0002520E">
                <w:rPr>
                  <w:rStyle w:val="Hyperlink"/>
                </w:rPr>
                <w:t>www.rch.org.au/</w:t>
              </w:r>
            </w:hyperlink>
          </w:p>
          <w:p w:rsidR="00E23E8E" w:rsidRPr="00740673" w:rsidRDefault="005D331F" w:rsidP="005D331F">
            <w:proofErr w:type="spellStart"/>
            <w:r w:rsidRPr="00740673">
              <w:t>melbourneassessment</w:t>
            </w:r>
            <w:proofErr w:type="spellEnd"/>
          </w:p>
        </w:tc>
      </w:tr>
      <w:tr w:rsidR="00A224EB" w:rsidRPr="00740673" w:rsidTr="00355521">
        <w:tc>
          <w:tcPr>
            <w:tcW w:w="1795" w:type="dxa"/>
            <w:shd w:val="clear" w:color="auto" w:fill="BDD6EE" w:themeFill="accent1" w:themeFillTint="66"/>
          </w:tcPr>
          <w:p w:rsidR="00E23E8E" w:rsidRPr="00740673" w:rsidRDefault="00C00FAF">
            <w:pPr>
              <w:rPr>
                <w:b/>
              </w:rPr>
            </w:pPr>
            <w:proofErr w:type="spellStart"/>
            <w:r w:rsidRPr="00740673">
              <w:rPr>
                <w:rFonts w:cs="Times New Roman"/>
                <w:b/>
                <w:sz w:val="24"/>
                <w:szCs w:val="24"/>
              </w:rPr>
              <w:t>Jebsen</w:t>
            </w:r>
            <w:proofErr w:type="spellEnd"/>
            <w:r w:rsidRPr="00740673">
              <w:rPr>
                <w:rFonts w:cs="Times New Roman"/>
                <w:b/>
                <w:sz w:val="24"/>
                <w:szCs w:val="24"/>
              </w:rPr>
              <w:t>-Taylor Test of Hand Function (JTTHF)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23E8E" w:rsidRPr="00740673" w:rsidRDefault="00E77477" w:rsidP="003528B8"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E34F3F" w:rsidRPr="00740673">
              <w:rPr>
                <w:rFonts w:cs="Arial"/>
                <w:color w:val="000000"/>
                <w:sz w:val="20"/>
                <w:szCs w:val="20"/>
              </w:rPr>
              <w:t>sse</w:t>
            </w:r>
            <w:r w:rsidR="003528B8">
              <w:rPr>
                <w:rFonts w:cs="Arial"/>
                <w:color w:val="000000"/>
                <w:sz w:val="20"/>
                <w:szCs w:val="20"/>
              </w:rPr>
              <w:t>sses</w:t>
            </w:r>
            <w:r w:rsidR="00E34F3F" w:rsidRPr="00740673">
              <w:rPr>
                <w:rFonts w:cs="Arial"/>
                <w:color w:val="000000"/>
                <w:sz w:val="20"/>
                <w:szCs w:val="20"/>
              </w:rPr>
              <w:t xml:space="preserve"> a broad range of </w:t>
            </w:r>
            <w:proofErr w:type="spellStart"/>
            <w:r w:rsidR="00E34F3F" w:rsidRPr="00740673">
              <w:rPr>
                <w:rFonts w:cs="Arial"/>
                <w:color w:val="000000"/>
                <w:sz w:val="20"/>
                <w:szCs w:val="20"/>
              </w:rPr>
              <w:t>uni</w:t>
            </w:r>
            <w:proofErr w:type="spellEnd"/>
            <w:r w:rsidR="00E34F3F" w:rsidRPr="00740673">
              <w:rPr>
                <w:rFonts w:cs="Arial"/>
                <w:color w:val="000000"/>
                <w:sz w:val="20"/>
                <w:szCs w:val="20"/>
              </w:rPr>
              <w:t>-manual hand functions required for activities of daily living (ADLs)</w:t>
            </w:r>
            <w:r w:rsidR="006D038B">
              <w:rPr>
                <w:rFonts w:cs="Arial"/>
                <w:color w:val="000000"/>
                <w:sz w:val="20"/>
                <w:szCs w:val="20"/>
              </w:rPr>
              <w:t xml:space="preserve"> ages 6 -65+yo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Pr="00740673" w:rsidRDefault="005D331F">
            <w:r w:rsidRPr="00740673">
              <w:t>15 minutes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5D331F">
            <w:r w:rsidRPr="00740673">
              <w:t>yes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3528B8">
            <w:r>
              <w:t>Not reported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E23E8E" w:rsidRPr="00740673" w:rsidRDefault="005D331F">
            <w:r w:rsidRPr="00740673">
              <w:t>no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Pr="00740673" w:rsidRDefault="005D331F" w:rsidP="00E34F3F">
            <w:r w:rsidRPr="00740673">
              <w:t>$</w:t>
            </w:r>
            <w:r w:rsidR="00E34F3F" w:rsidRPr="00740673">
              <w:t>450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23E8E" w:rsidRPr="00740673" w:rsidRDefault="001D43E7" w:rsidP="003528B8">
            <w:hyperlink r:id="rId6" w:history="1">
              <w:r w:rsidR="003528B8" w:rsidRPr="0002520E">
                <w:rPr>
                  <w:rStyle w:val="Hyperlink"/>
                </w:rPr>
                <w:t>www.allegromedical</w:t>
              </w:r>
            </w:hyperlink>
            <w:r w:rsidR="00E34F3F" w:rsidRPr="00740673">
              <w:t>.</w:t>
            </w:r>
            <w:r w:rsidR="00BA0EE2" w:rsidRPr="00740673">
              <w:t xml:space="preserve"> </w:t>
            </w:r>
            <w:r w:rsidR="00E34F3F" w:rsidRPr="00740673">
              <w:t>com</w:t>
            </w:r>
          </w:p>
        </w:tc>
      </w:tr>
      <w:tr w:rsidR="00A224EB" w:rsidRPr="00740673" w:rsidTr="00355521">
        <w:tc>
          <w:tcPr>
            <w:tcW w:w="1795" w:type="dxa"/>
            <w:shd w:val="clear" w:color="auto" w:fill="BDD6EE" w:themeFill="accent1" w:themeFillTint="66"/>
          </w:tcPr>
          <w:p w:rsidR="00E23E8E" w:rsidRPr="003528B8" w:rsidRDefault="00C00FAF" w:rsidP="003528B8">
            <w:pPr>
              <w:rPr>
                <w:b/>
              </w:rPr>
            </w:pPr>
            <w:r w:rsidRPr="003528B8">
              <w:rPr>
                <w:rFonts w:cs="Times New Roman"/>
                <w:b/>
              </w:rPr>
              <w:t>Pediatric Evaluation of Disability Inventory</w:t>
            </w:r>
            <w:r w:rsidR="003528B8">
              <w:rPr>
                <w:rFonts w:cs="Times New Roman"/>
                <w:b/>
              </w:rPr>
              <w:t xml:space="preserve"> (PE</w:t>
            </w:r>
            <w:r w:rsidRPr="003528B8">
              <w:rPr>
                <w:rFonts w:cs="Times New Roman"/>
                <w:b/>
              </w:rPr>
              <w:t>DI)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23E8E" w:rsidRPr="00355521" w:rsidRDefault="00E77477" w:rsidP="006D038B">
            <w:r w:rsidRPr="00355521">
              <w:rPr>
                <w:rFonts w:cs="Arial"/>
                <w:color w:val="000000"/>
                <w:sz w:val="20"/>
                <w:szCs w:val="20"/>
              </w:rPr>
              <w:t>Assess self</w:t>
            </w:r>
            <w:r w:rsidR="00355521">
              <w:rPr>
                <w:rFonts w:cs="Arial"/>
                <w:color w:val="000000"/>
                <w:sz w:val="20"/>
                <w:szCs w:val="20"/>
              </w:rPr>
              <w:t>-</w:t>
            </w:r>
            <w:r w:rsidRPr="00355521">
              <w:rPr>
                <w:rFonts w:cs="Arial"/>
                <w:color w:val="000000"/>
                <w:sz w:val="20"/>
                <w:szCs w:val="20"/>
              </w:rPr>
              <w:t xml:space="preserve"> care, mobility and social functioning in children aged </w:t>
            </w:r>
            <w:r w:rsidR="006D038B" w:rsidRPr="00355521">
              <w:rPr>
                <w:rFonts w:cs="Arial"/>
                <w:color w:val="000000"/>
                <w:sz w:val="20"/>
                <w:szCs w:val="20"/>
              </w:rPr>
              <w:t>6</w:t>
            </w:r>
            <w:r w:rsidRPr="00355521">
              <w:rPr>
                <w:rFonts w:cs="Arial"/>
                <w:color w:val="000000"/>
                <w:sz w:val="20"/>
                <w:szCs w:val="20"/>
              </w:rPr>
              <w:t xml:space="preserve"> month to </w:t>
            </w:r>
            <w:r w:rsidR="006D038B" w:rsidRPr="00355521">
              <w:rPr>
                <w:rFonts w:cs="Arial"/>
                <w:color w:val="000000"/>
                <w:sz w:val="20"/>
                <w:szCs w:val="20"/>
              </w:rPr>
              <w:t>7</w:t>
            </w:r>
            <w:r w:rsidRPr="003555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038B" w:rsidRPr="00355521">
              <w:rPr>
                <w:rFonts w:cs="Arial"/>
                <w:color w:val="000000"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Pr="00740673" w:rsidRDefault="00E74BA4">
            <w:r w:rsidRPr="00740673">
              <w:t>45-60 minutes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3528B8">
            <w:r>
              <w:t>Y</w:t>
            </w:r>
            <w:r w:rsidR="006D038B">
              <w:t>es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3528B8">
            <w:r>
              <w:t>Y</w:t>
            </w:r>
            <w:r w:rsidR="006D038B">
              <w:t>es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E23E8E" w:rsidRPr="00740673" w:rsidRDefault="00BA0EE2">
            <w:r w:rsidRPr="00740673">
              <w:t>No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Default="001D43E7">
            <w:r>
              <w:t xml:space="preserve">Manual: $126 </w:t>
            </w:r>
          </w:p>
          <w:p w:rsidR="001D43E7" w:rsidRPr="00740673" w:rsidRDefault="001D43E7">
            <w:r>
              <w:t>Forms:  $46</w:t>
            </w:r>
            <w:bookmarkStart w:id="0" w:name="_GoBack"/>
            <w:bookmarkEnd w:id="0"/>
          </w:p>
        </w:tc>
        <w:tc>
          <w:tcPr>
            <w:tcW w:w="3150" w:type="dxa"/>
            <w:shd w:val="clear" w:color="auto" w:fill="DEEAF6" w:themeFill="accent1" w:themeFillTint="33"/>
          </w:tcPr>
          <w:p w:rsidR="00E23E8E" w:rsidRPr="00740673" w:rsidRDefault="006D038B" w:rsidP="00355521">
            <w:r w:rsidRPr="006D038B">
              <w:t>www.pearsonclinical.com/</w:t>
            </w:r>
          </w:p>
        </w:tc>
      </w:tr>
      <w:tr w:rsidR="00740673" w:rsidRPr="00740673" w:rsidTr="00355521">
        <w:tc>
          <w:tcPr>
            <w:tcW w:w="1795" w:type="dxa"/>
            <w:shd w:val="clear" w:color="auto" w:fill="BDD6EE" w:themeFill="accent1" w:themeFillTint="66"/>
          </w:tcPr>
          <w:p w:rsidR="00E23E8E" w:rsidRPr="00740673" w:rsidRDefault="00C00FAF" w:rsidP="00740673">
            <w:pPr>
              <w:rPr>
                <w:b/>
              </w:rPr>
            </w:pPr>
            <w:r w:rsidRPr="00740673">
              <w:rPr>
                <w:b/>
              </w:rPr>
              <w:t>Canadian Occupational Performance Measure (COPM)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23E8E" w:rsidRPr="00740673" w:rsidRDefault="00030D7A" w:rsidP="00740673">
            <w:r>
              <w:t>Measure is designed to detect change in a client's self-perception of occupational performance over time.  Used on children</w:t>
            </w:r>
            <w:r w:rsidR="00703752">
              <w:t xml:space="preserve"> </w:t>
            </w:r>
            <w:r>
              <w:t>&gt;</w:t>
            </w:r>
            <w:r w:rsidR="00703752">
              <w:t>8</w:t>
            </w:r>
            <w:r w:rsidR="006D038B">
              <w:t xml:space="preserve"> </w:t>
            </w:r>
            <w:proofErr w:type="spellStart"/>
            <w:r w:rsidR="00703752">
              <w:t>yo</w:t>
            </w:r>
            <w:proofErr w:type="spellEnd"/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Pr="00740673" w:rsidRDefault="00703752" w:rsidP="00740673">
            <w:r>
              <w:t>20-40</w:t>
            </w:r>
            <w:r w:rsidR="00E74BA4" w:rsidRPr="00740673">
              <w:t xml:space="preserve"> minutes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3528B8" w:rsidP="00740673">
            <w:r>
              <w:t>Y</w:t>
            </w:r>
            <w:r w:rsidR="00703752">
              <w:t>es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3528B8" w:rsidP="00740673">
            <w:r>
              <w:t>Y</w:t>
            </w:r>
            <w:r w:rsidR="00703752">
              <w:t>es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E23E8E" w:rsidRPr="00740673" w:rsidRDefault="00BA0EE2" w:rsidP="00740673">
            <w:r w:rsidRPr="00740673">
              <w:t>Read manual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Pr="00740673" w:rsidRDefault="00BA0EE2" w:rsidP="00740673">
            <w:r w:rsidRPr="00740673">
              <w:t>$50 for e-manual and 100 forms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23E8E" w:rsidRPr="00740673" w:rsidRDefault="00BA0EE2" w:rsidP="00740673">
            <w:r w:rsidRPr="00740673">
              <w:t xml:space="preserve">https://www.caot.ca/ </w:t>
            </w:r>
          </w:p>
        </w:tc>
      </w:tr>
      <w:tr w:rsidR="00740673" w:rsidRPr="00740673" w:rsidTr="00355521">
        <w:trPr>
          <w:trHeight w:val="1808"/>
        </w:trPr>
        <w:tc>
          <w:tcPr>
            <w:tcW w:w="1795" w:type="dxa"/>
            <w:shd w:val="clear" w:color="auto" w:fill="BDD6EE" w:themeFill="accent1" w:themeFillTint="66"/>
          </w:tcPr>
          <w:p w:rsidR="00E23E8E" w:rsidRPr="00740673" w:rsidRDefault="00C00FAF" w:rsidP="00740673">
            <w:pPr>
              <w:rPr>
                <w:b/>
              </w:rPr>
            </w:pPr>
            <w:proofErr w:type="spellStart"/>
            <w:r w:rsidRPr="00740673">
              <w:rPr>
                <w:b/>
              </w:rPr>
              <w:t>Besta</w:t>
            </w:r>
            <w:proofErr w:type="spellEnd"/>
            <w:r w:rsidRPr="00740673">
              <w:rPr>
                <w:b/>
              </w:rPr>
              <w:t xml:space="preserve"> Scale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23E8E" w:rsidRPr="00740673" w:rsidRDefault="00E77477" w:rsidP="006D038B">
            <w:r>
              <w:t>M</w:t>
            </w:r>
            <w:r w:rsidR="00E34F3F" w:rsidRPr="00740673">
              <w:t>e</w:t>
            </w:r>
            <w:r w:rsidR="00703752">
              <w:t>a</w:t>
            </w:r>
            <w:r w:rsidR="00E34F3F" w:rsidRPr="00740673">
              <w:t>sures grasp, spontaneous use in play and activities of daily living, and qualitative use of the involved hand in feeding and dressing</w:t>
            </w:r>
            <w:r w:rsidR="006D038B">
              <w:t xml:space="preserve"> </w:t>
            </w:r>
            <w:r w:rsidR="006D038B">
              <w:lastRenderedPageBreak/>
              <w:t>(age range unreported)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Default="00B7104C" w:rsidP="00740673">
            <w:r>
              <w:lastRenderedPageBreak/>
              <w:t xml:space="preserve">15 minutes </w:t>
            </w:r>
          </w:p>
          <w:p w:rsidR="00B7104C" w:rsidRPr="00740673" w:rsidRDefault="00B7104C" w:rsidP="00740673">
            <w:r>
              <w:t>(my estimate as no data available)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B7104C" w:rsidP="00740673">
            <w:r>
              <w:t>Not reported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B7104C" w:rsidP="00740673">
            <w:r>
              <w:t>Not reported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E23E8E" w:rsidRPr="00740673" w:rsidRDefault="00B7104C" w:rsidP="00740673">
            <w:r>
              <w:t>No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Pr="00740673" w:rsidRDefault="00B7104C" w:rsidP="00740673">
            <w:r>
              <w:t>Free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B7104C" w:rsidRDefault="00B7104C">
            <w:pPr>
              <w:divId w:val="1844398604"/>
              <w:rPr>
                <w:rFonts w:ascii="Calibri" w:eastAsia="Times New Roman" w:hAnsi="Calibri"/>
              </w:rPr>
            </w:pPr>
          </w:p>
          <w:p w:rsidR="00E23E8E" w:rsidRPr="00740673" w:rsidRDefault="00B7104C" w:rsidP="00B7104C">
            <w:r>
              <w:t>See reference below for copy of test.</w:t>
            </w:r>
            <w:r>
              <w:rPr>
                <w:vertAlign w:val="superscript"/>
              </w:rPr>
              <w:t>1</w:t>
            </w:r>
            <w:r>
              <w:fldChar w:fldCharType="begin"/>
            </w:r>
            <w:r>
              <w:instrText>ADDIN RW.CITE{{940 Fedrizzi,E. 2013}}</w:instrText>
            </w:r>
            <w:r>
              <w:fldChar w:fldCharType="end"/>
            </w:r>
          </w:p>
        </w:tc>
      </w:tr>
      <w:tr w:rsidR="00740673" w:rsidRPr="00740673" w:rsidTr="00355521">
        <w:tc>
          <w:tcPr>
            <w:tcW w:w="1795" w:type="dxa"/>
            <w:shd w:val="clear" w:color="auto" w:fill="BDD6EE" w:themeFill="accent1" w:themeFillTint="66"/>
          </w:tcPr>
          <w:p w:rsidR="00E23E8E" w:rsidRPr="00740673" w:rsidRDefault="00C00FAF" w:rsidP="00740673">
            <w:pPr>
              <w:rPr>
                <w:b/>
              </w:rPr>
            </w:pPr>
            <w:r w:rsidRPr="00740673">
              <w:rPr>
                <w:b/>
              </w:rPr>
              <w:lastRenderedPageBreak/>
              <w:t>The Quality of Upper Extremity Skills Test (QUEST)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23E8E" w:rsidRPr="00E77477" w:rsidRDefault="00E77477" w:rsidP="00E77477">
            <w:r w:rsidRPr="00E77477">
              <w:rPr>
                <w:color w:val="000000"/>
                <w:lang w:val="en-CA"/>
              </w:rPr>
              <w:t>E</w:t>
            </w:r>
            <w:r w:rsidR="00E74BA4" w:rsidRPr="00E77477">
              <w:rPr>
                <w:color w:val="000000"/>
                <w:lang w:val="en-CA"/>
              </w:rPr>
              <w:t>valuates quality of upper extremity function in four domains: dissociated movement, grasp, protective extension, and weight bearing</w:t>
            </w:r>
            <w:r w:rsidR="003528B8">
              <w:rPr>
                <w:color w:val="000000"/>
                <w:lang w:val="en-CA"/>
              </w:rPr>
              <w:t xml:space="preserve"> for ages 18mos to 8 </w:t>
            </w:r>
            <w:proofErr w:type="spellStart"/>
            <w:r w:rsidR="003528B8">
              <w:rPr>
                <w:color w:val="000000"/>
                <w:lang w:val="en-CA"/>
              </w:rPr>
              <w:t>yo</w:t>
            </w:r>
            <w:proofErr w:type="spellEnd"/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Pr="00740673" w:rsidRDefault="00E74BA4" w:rsidP="00740673">
            <w:r w:rsidRPr="00740673">
              <w:t>30-45 minutes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E74BA4" w:rsidP="00740673">
            <w:r w:rsidRPr="00740673">
              <w:t>Yes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E23E8E" w:rsidRPr="00740673" w:rsidRDefault="00E74BA4" w:rsidP="00740673">
            <w:r w:rsidRPr="00740673">
              <w:t>Yes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E23E8E" w:rsidRPr="00740673" w:rsidRDefault="00E74BA4" w:rsidP="00740673">
            <w:r w:rsidRPr="00740673">
              <w:t>No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E23E8E" w:rsidRPr="00740673" w:rsidRDefault="00E74BA4" w:rsidP="00740673">
            <w:r w:rsidRPr="00740673">
              <w:t>Free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3528B8" w:rsidRDefault="001D43E7" w:rsidP="00740673">
            <w:hyperlink r:id="rId7" w:history="1">
              <w:r w:rsidR="003528B8" w:rsidRPr="0002520E">
                <w:rPr>
                  <w:rStyle w:val="Hyperlink"/>
                </w:rPr>
                <w:t>www.canchild.ca/en/measures</w:t>
              </w:r>
            </w:hyperlink>
            <w:r w:rsidR="003528B8">
              <w:t>/</w:t>
            </w:r>
          </w:p>
          <w:p w:rsidR="00E23E8E" w:rsidRPr="00740673" w:rsidRDefault="00E74BA4" w:rsidP="00740673">
            <w:r w:rsidRPr="00740673">
              <w:t>quest.asp</w:t>
            </w:r>
          </w:p>
        </w:tc>
      </w:tr>
    </w:tbl>
    <w:p w:rsidR="00D82D12" w:rsidRDefault="00E23E8E" w:rsidP="00740673">
      <w:r w:rsidRPr="00740673">
        <w:t xml:space="preserve">  </w:t>
      </w:r>
    </w:p>
    <w:p w:rsidR="00B7104C" w:rsidRDefault="00B7104C" w:rsidP="003528B8">
      <w:pPr>
        <w:pStyle w:val="NormalWeb"/>
        <w:divId w:val="16589977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proofErr w:type="spellStart"/>
      <w:r>
        <w:rPr>
          <w:rFonts w:ascii="Calibri" w:hAnsi="Calibri"/>
          <w:sz w:val="22"/>
          <w:szCs w:val="22"/>
        </w:rPr>
        <w:t>Fedrizzi</w:t>
      </w:r>
      <w:proofErr w:type="spellEnd"/>
      <w:r>
        <w:rPr>
          <w:rFonts w:ascii="Calibri" w:hAnsi="Calibri"/>
          <w:sz w:val="22"/>
          <w:szCs w:val="22"/>
        </w:rPr>
        <w:t xml:space="preserve"> E, Rosa-</w:t>
      </w:r>
      <w:proofErr w:type="spellStart"/>
      <w:r>
        <w:rPr>
          <w:rFonts w:ascii="Calibri" w:hAnsi="Calibri"/>
          <w:sz w:val="22"/>
          <w:szCs w:val="22"/>
        </w:rPr>
        <w:t>Rizzotto</w:t>
      </w:r>
      <w:proofErr w:type="spellEnd"/>
      <w:r>
        <w:rPr>
          <w:rFonts w:ascii="Calibri" w:hAnsi="Calibri"/>
          <w:sz w:val="22"/>
          <w:szCs w:val="22"/>
        </w:rPr>
        <w:t xml:space="preserve"> M, </w:t>
      </w:r>
      <w:proofErr w:type="spellStart"/>
      <w:r>
        <w:rPr>
          <w:rFonts w:ascii="Calibri" w:hAnsi="Calibri"/>
          <w:sz w:val="22"/>
          <w:szCs w:val="22"/>
        </w:rPr>
        <w:t>Turconi</w:t>
      </w:r>
      <w:proofErr w:type="spellEnd"/>
      <w:r>
        <w:rPr>
          <w:rFonts w:ascii="Calibri" w:hAnsi="Calibri"/>
          <w:sz w:val="22"/>
          <w:szCs w:val="22"/>
        </w:rPr>
        <w:t xml:space="preserve"> AC, et al. </w:t>
      </w:r>
      <w:proofErr w:type="spellStart"/>
      <w:r>
        <w:rPr>
          <w:rFonts w:ascii="Calibri" w:hAnsi="Calibri"/>
          <w:sz w:val="22"/>
          <w:szCs w:val="22"/>
        </w:rPr>
        <w:t>Unimanual</w:t>
      </w:r>
      <w:proofErr w:type="spellEnd"/>
      <w:r>
        <w:rPr>
          <w:rFonts w:ascii="Calibri" w:hAnsi="Calibri"/>
          <w:sz w:val="22"/>
          <w:szCs w:val="22"/>
        </w:rPr>
        <w:t xml:space="preserve"> and bimanual intensive training in children with hemiplegic cerebral palsy and persistence in time of hand function improvement: 6-month follow-up results of a multisite clinical trial. </w:t>
      </w:r>
      <w:r>
        <w:rPr>
          <w:rFonts w:ascii="Calibri" w:hAnsi="Calibri"/>
          <w:i/>
          <w:iCs/>
          <w:sz w:val="22"/>
          <w:szCs w:val="22"/>
        </w:rPr>
        <w:t>J Child Neurol</w:t>
      </w:r>
      <w:r w:rsidR="003528B8">
        <w:rPr>
          <w:rFonts w:ascii="Calibri" w:hAnsi="Calibri"/>
          <w:sz w:val="22"/>
          <w:szCs w:val="22"/>
        </w:rPr>
        <w:t>. 2013</w:t>
      </w:r>
      <w:proofErr w:type="gramStart"/>
      <w:r w:rsidR="003528B8">
        <w:rPr>
          <w:rFonts w:ascii="Calibri" w:hAnsi="Calibri"/>
          <w:sz w:val="22"/>
          <w:szCs w:val="22"/>
        </w:rPr>
        <w:t>;28</w:t>
      </w:r>
      <w:proofErr w:type="gramEnd"/>
      <w:r w:rsidR="003528B8">
        <w:rPr>
          <w:rFonts w:ascii="Calibri" w:hAnsi="Calibri"/>
          <w:sz w:val="22"/>
          <w:szCs w:val="22"/>
        </w:rPr>
        <w:t xml:space="preserve">(2):161-175. </w:t>
      </w:r>
    </w:p>
    <w:sectPr w:rsidR="00B7104C" w:rsidSect="00E23E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8E"/>
    <w:rsid w:val="00030D7A"/>
    <w:rsid w:val="001D43E7"/>
    <w:rsid w:val="003528B8"/>
    <w:rsid w:val="00355521"/>
    <w:rsid w:val="004062F8"/>
    <w:rsid w:val="00427E05"/>
    <w:rsid w:val="00512DCA"/>
    <w:rsid w:val="005D331F"/>
    <w:rsid w:val="006D038B"/>
    <w:rsid w:val="00703752"/>
    <w:rsid w:val="00740673"/>
    <w:rsid w:val="00917CE4"/>
    <w:rsid w:val="00A224EB"/>
    <w:rsid w:val="00A76F67"/>
    <w:rsid w:val="00B11C92"/>
    <w:rsid w:val="00B7104C"/>
    <w:rsid w:val="00BA0EE2"/>
    <w:rsid w:val="00C00FAF"/>
    <w:rsid w:val="00D82D12"/>
    <w:rsid w:val="00E04435"/>
    <w:rsid w:val="00E23E8E"/>
    <w:rsid w:val="00E34F3F"/>
    <w:rsid w:val="00E35E17"/>
    <w:rsid w:val="00E74BA4"/>
    <w:rsid w:val="00E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13254-6D50-4EE3-8420-45D45DB5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F3F"/>
    <w:rPr>
      <w:strike w:val="0"/>
      <w:dstrike w:val="0"/>
      <w:color w:val="354D6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71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child.ca/en/measur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egromedical" TargetMode="External"/><Relationship Id="rId5" Type="http://schemas.openxmlformats.org/officeDocument/2006/relationships/hyperlink" Target="http://www.rch.org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FB2D-EA0A-4E69-9A1B-4D078627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The University of North Carolina at Chapel Hill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Cathy Howes</dc:creator>
  <cp:keywords/>
  <dc:description/>
  <cp:lastModifiedBy>Cathy Howes</cp:lastModifiedBy>
  <cp:revision>2</cp:revision>
  <dcterms:created xsi:type="dcterms:W3CDTF">2014-04-14T20:28:00Z</dcterms:created>
  <dcterms:modified xsi:type="dcterms:W3CDTF">2014-04-14T20:28:00Z</dcterms:modified>
</cp:coreProperties>
</file>