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1EEFDDDF" w14:textId="77777777" w:rsidTr="002F16E1">
        <w:tc>
          <w:tcPr>
            <w:tcW w:w="10421" w:type="dxa"/>
            <w:shd w:val="clear" w:color="auto" w:fill="auto"/>
          </w:tcPr>
          <w:p w14:paraId="27AC7ACD" w14:textId="77777777" w:rsidR="005263ED" w:rsidRPr="002F16E1" w:rsidRDefault="00196026" w:rsidP="002F16E1">
            <w:pPr>
              <w:jc w:val="center"/>
              <w:rPr>
                <w:b/>
                <w:sz w:val="18"/>
                <w:szCs w:val="18"/>
              </w:rPr>
            </w:pPr>
            <w:r w:rsidRPr="002F16E1">
              <w:rPr>
                <w:b/>
                <w:sz w:val="18"/>
                <w:szCs w:val="18"/>
              </w:rPr>
              <w:t>CRITICALLY APPRAISED TOPIC</w:t>
            </w:r>
          </w:p>
        </w:tc>
      </w:tr>
    </w:tbl>
    <w:p w14:paraId="731F6DDB"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2D883FCD" w14:textId="77777777" w:rsidTr="002F16E1">
        <w:tc>
          <w:tcPr>
            <w:tcW w:w="10421" w:type="dxa"/>
            <w:shd w:val="clear" w:color="auto" w:fill="auto"/>
          </w:tcPr>
          <w:p w14:paraId="17C64D18" w14:textId="2C94DA13" w:rsidR="008B5180" w:rsidRPr="002F16E1" w:rsidRDefault="00884EA8" w:rsidP="002F16E1">
            <w:pPr>
              <w:spacing w:before="120" w:after="120"/>
              <w:rPr>
                <w:sz w:val="16"/>
                <w:szCs w:val="16"/>
              </w:rPr>
            </w:pPr>
            <w:r>
              <w:rPr>
                <w:sz w:val="16"/>
                <w:szCs w:val="16"/>
              </w:rPr>
              <w:t xml:space="preserve">In adults with Achilles </w:t>
            </w:r>
            <w:proofErr w:type="spellStart"/>
            <w:r>
              <w:rPr>
                <w:sz w:val="16"/>
                <w:szCs w:val="16"/>
              </w:rPr>
              <w:t>tendinopathy</w:t>
            </w:r>
            <w:proofErr w:type="spellEnd"/>
            <w:r>
              <w:rPr>
                <w:sz w:val="16"/>
                <w:szCs w:val="16"/>
              </w:rPr>
              <w:t xml:space="preserve">, do </w:t>
            </w:r>
            <w:proofErr w:type="spellStart"/>
            <w:r>
              <w:rPr>
                <w:sz w:val="16"/>
                <w:szCs w:val="16"/>
              </w:rPr>
              <w:t>gastroc</w:t>
            </w:r>
            <w:proofErr w:type="spellEnd"/>
            <w:r>
              <w:rPr>
                <w:sz w:val="16"/>
                <w:szCs w:val="16"/>
              </w:rPr>
              <w:t>/soleus eccentric exercises or corticosteroid injections have better outcomes in decreasing pain?</w:t>
            </w:r>
          </w:p>
        </w:tc>
      </w:tr>
    </w:tbl>
    <w:p w14:paraId="5F046A25" w14:textId="77777777" w:rsidR="00554FFC" w:rsidRDefault="00554FFC" w:rsidP="00077862">
      <w:pPr>
        <w:spacing w:before="120" w:after="120"/>
        <w:rPr>
          <w:b/>
          <w:sz w:val="18"/>
          <w:szCs w:val="18"/>
        </w:rPr>
      </w:pPr>
    </w:p>
    <w:p w14:paraId="4769030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220FA61F" w14:textId="77777777" w:rsidTr="002F16E1">
        <w:tc>
          <w:tcPr>
            <w:tcW w:w="1908" w:type="dxa"/>
            <w:shd w:val="clear" w:color="auto" w:fill="auto"/>
          </w:tcPr>
          <w:p w14:paraId="22A516FB"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26F57F4" w14:textId="657EE11B" w:rsidR="003A6741" w:rsidRPr="002F16E1" w:rsidRDefault="00884EA8" w:rsidP="002F16E1">
            <w:pPr>
              <w:spacing w:before="120" w:after="120"/>
              <w:rPr>
                <w:sz w:val="18"/>
                <w:szCs w:val="18"/>
              </w:rPr>
            </w:pPr>
            <w:r>
              <w:rPr>
                <w:sz w:val="18"/>
                <w:szCs w:val="18"/>
              </w:rPr>
              <w:t>Mark Boles</w:t>
            </w:r>
          </w:p>
        </w:tc>
        <w:tc>
          <w:tcPr>
            <w:tcW w:w="1107" w:type="dxa"/>
            <w:shd w:val="clear" w:color="auto" w:fill="auto"/>
          </w:tcPr>
          <w:p w14:paraId="748DEB07"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FB0E720" w14:textId="77777777" w:rsidR="003A6741" w:rsidRDefault="00884EA8" w:rsidP="002F16E1">
            <w:pPr>
              <w:spacing w:before="120" w:after="120"/>
              <w:rPr>
                <w:sz w:val="18"/>
                <w:szCs w:val="18"/>
              </w:rPr>
            </w:pPr>
            <w:r>
              <w:rPr>
                <w:sz w:val="18"/>
                <w:szCs w:val="18"/>
              </w:rPr>
              <w:t xml:space="preserve">November 22, 2014 </w:t>
            </w:r>
          </w:p>
          <w:p w14:paraId="037E5F03" w14:textId="615F7A77" w:rsidR="002F1B6F" w:rsidRPr="002F16E1" w:rsidRDefault="002F1B6F" w:rsidP="002F16E1">
            <w:pPr>
              <w:spacing w:before="120" w:after="120"/>
              <w:rPr>
                <w:sz w:val="18"/>
                <w:szCs w:val="18"/>
              </w:rPr>
            </w:pPr>
            <w:r>
              <w:rPr>
                <w:sz w:val="18"/>
                <w:szCs w:val="18"/>
              </w:rPr>
              <w:t>Revised February 5, 2015</w:t>
            </w:r>
          </w:p>
        </w:tc>
      </w:tr>
      <w:tr w:rsidR="008B031E" w:rsidRPr="002F16E1" w14:paraId="33C16A1B" w14:textId="77777777" w:rsidTr="002F16E1">
        <w:tc>
          <w:tcPr>
            <w:tcW w:w="1908" w:type="dxa"/>
            <w:shd w:val="clear" w:color="auto" w:fill="auto"/>
          </w:tcPr>
          <w:p w14:paraId="4D64B74C"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2BD8B5C1" w14:textId="06442EC6" w:rsidR="008B031E" w:rsidRPr="002F16E1" w:rsidRDefault="00884EA8" w:rsidP="002F16E1">
            <w:pPr>
              <w:spacing w:before="120" w:after="120"/>
              <w:rPr>
                <w:sz w:val="18"/>
                <w:szCs w:val="18"/>
              </w:rPr>
            </w:pPr>
            <w:proofErr w:type="gramStart"/>
            <w:r>
              <w:rPr>
                <w:sz w:val="18"/>
                <w:szCs w:val="18"/>
              </w:rPr>
              <w:t>mark</w:t>
            </w:r>
            <w:proofErr w:type="gramEnd"/>
            <w:r>
              <w:rPr>
                <w:sz w:val="18"/>
                <w:szCs w:val="18"/>
              </w:rPr>
              <w:t>_boles@med.unc.edu</w:t>
            </w:r>
          </w:p>
        </w:tc>
      </w:tr>
    </w:tbl>
    <w:p w14:paraId="1E10621B" w14:textId="77777777" w:rsidR="00554FFC" w:rsidRDefault="00554FFC" w:rsidP="00A66A42">
      <w:pPr>
        <w:spacing w:before="120" w:after="120"/>
        <w:rPr>
          <w:b/>
          <w:sz w:val="18"/>
          <w:szCs w:val="18"/>
        </w:rPr>
      </w:pPr>
    </w:p>
    <w:p w14:paraId="7590668B"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5834E4A6" w14:textId="77777777" w:rsidTr="002F16E1">
        <w:tc>
          <w:tcPr>
            <w:tcW w:w="10421" w:type="dxa"/>
            <w:shd w:val="clear" w:color="auto" w:fill="auto"/>
          </w:tcPr>
          <w:p w14:paraId="3EA28074" w14:textId="5393B968" w:rsidR="00D410D9" w:rsidRDefault="00D410D9" w:rsidP="00D410D9">
            <w:pPr>
              <w:spacing w:before="120" w:after="120"/>
              <w:rPr>
                <w:sz w:val="18"/>
                <w:szCs w:val="18"/>
              </w:rPr>
            </w:pPr>
            <w:r>
              <w:rPr>
                <w:sz w:val="18"/>
                <w:szCs w:val="18"/>
              </w:rPr>
              <w:t>A</w:t>
            </w:r>
            <w:r w:rsidR="00AE4D4E">
              <w:rPr>
                <w:sz w:val="18"/>
                <w:szCs w:val="18"/>
              </w:rPr>
              <w:t xml:space="preserve">chilles </w:t>
            </w:r>
            <w:proofErr w:type="spellStart"/>
            <w:r w:rsidR="00AE4D4E">
              <w:rPr>
                <w:sz w:val="18"/>
                <w:szCs w:val="18"/>
              </w:rPr>
              <w:t>tendinopathy</w:t>
            </w:r>
            <w:proofErr w:type="spellEnd"/>
            <w:r w:rsidR="00AE4D4E">
              <w:rPr>
                <w:sz w:val="18"/>
                <w:szCs w:val="18"/>
              </w:rPr>
              <w:t xml:space="preserve"> is a relatively</w:t>
            </w:r>
            <w:r>
              <w:rPr>
                <w:sz w:val="18"/>
                <w:szCs w:val="18"/>
              </w:rPr>
              <w:t xml:space="preserve"> common pathology seen in the clinic, especially in active older adults. One of the most, if not </w:t>
            </w:r>
            <w:r>
              <w:rPr>
                <w:i/>
                <w:sz w:val="18"/>
                <w:szCs w:val="18"/>
              </w:rPr>
              <w:t>the</w:t>
            </w:r>
            <w:r>
              <w:rPr>
                <w:sz w:val="18"/>
                <w:szCs w:val="18"/>
              </w:rPr>
              <w:t xml:space="preserve"> most, common complaints of Achilles </w:t>
            </w:r>
            <w:proofErr w:type="spellStart"/>
            <w:r>
              <w:rPr>
                <w:sz w:val="18"/>
                <w:szCs w:val="18"/>
              </w:rPr>
              <w:t>tendinopathy</w:t>
            </w:r>
            <w:proofErr w:type="spellEnd"/>
            <w:r>
              <w:rPr>
                <w:sz w:val="18"/>
                <w:szCs w:val="18"/>
              </w:rPr>
              <w:t xml:space="preserve"> is pain. In the clinic I have observed how this pain often limits an individual’s ability to participate in the physical activities that they enjoy.</w:t>
            </w:r>
          </w:p>
          <w:p w14:paraId="7B26B648" w14:textId="3CD4699E" w:rsidR="00D410D9" w:rsidRPr="00D410D9" w:rsidRDefault="00D410D9" w:rsidP="00D410D9">
            <w:pPr>
              <w:spacing w:before="120" w:after="120"/>
              <w:rPr>
                <w:sz w:val="18"/>
                <w:szCs w:val="18"/>
                <w:vertAlign w:val="superscript"/>
              </w:rPr>
            </w:pPr>
            <w:r>
              <w:rPr>
                <w:sz w:val="18"/>
                <w:szCs w:val="18"/>
              </w:rPr>
              <w:t xml:space="preserve">Historically, physicians have often relied on corticosteroid injections to treat patients with Achilles </w:t>
            </w:r>
            <w:proofErr w:type="spellStart"/>
            <w:r>
              <w:rPr>
                <w:sz w:val="18"/>
                <w:szCs w:val="18"/>
              </w:rPr>
              <w:t>tendinopathy</w:t>
            </w:r>
            <w:proofErr w:type="spellEnd"/>
            <w:r>
              <w:rPr>
                <w:sz w:val="18"/>
                <w:szCs w:val="18"/>
              </w:rPr>
              <w:t xml:space="preserve"> due to an effective relief of patient reported pain and decreased swelling. However, </w:t>
            </w:r>
            <w:r w:rsidR="00AE4D4E">
              <w:rPr>
                <w:sz w:val="18"/>
                <w:szCs w:val="18"/>
              </w:rPr>
              <w:t xml:space="preserve">my clinical experience is that recurrence of pain is common, leading me to suspect that </w:t>
            </w:r>
            <w:r>
              <w:rPr>
                <w:sz w:val="18"/>
                <w:szCs w:val="18"/>
              </w:rPr>
              <w:t>this method of treatment might not target the root problem c</w:t>
            </w:r>
            <w:r w:rsidR="00AE4D4E">
              <w:rPr>
                <w:sz w:val="18"/>
                <w:szCs w:val="18"/>
              </w:rPr>
              <w:t xml:space="preserve">ausing Achilles </w:t>
            </w:r>
            <w:proofErr w:type="spellStart"/>
            <w:r w:rsidR="00AE4D4E">
              <w:rPr>
                <w:sz w:val="18"/>
                <w:szCs w:val="18"/>
              </w:rPr>
              <w:t>tendinopathy</w:t>
            </w:r>
            <w:proofErr w:type="spellEnd"/>
            <w:r w:rsidR="00AE4D4E">
              <w:rPr>
                <w:sz w:val="18"/>
                <w:szCs w:val="18"/>
              </w:rPr>
              <w:t xml:space="preserve">. </w:t>
            </w:r>
            <w:r>
              <w:rPr>
                <w:sz w:val="18"/>
                <w:szCs w:val="18"/>
              </w:rPr>
              <w:t>Moreover, corticosteroid injections may also have deleterious effects on tendon leading to further pathology.</w:t>
            </w:r>
            <w:r>
              <w:rPr>
                <w:sz w:val="18"/>
                <w:szCs w:val="18"/>
                <w:vertAlign w:val="superscript"/>
              </w:rPr>
              <w:t>5</w:t>
            </w:r>
          </w:p>
          <w:p w14:paraId="172BE7B0" w14:textId="3DDD89F5" w:rsidR="00D410D9" w:rsidRPr="00B63038" w:rsidRDefault="00D410D9" w:rsidP="00D410D9">
            <w:pPr>
              <w:spacing w:before="120" w:after="120"/>
              <w:rPr>
                <w:sz w:val="18"/>
                <w:szCs w:val="18"/>
              </w:rPr>
            </w:pPr>
            <w:r>
              <w:rPr>
                <w:sz w:val="18"/>
                <w:szCs w:val="18"/>
              </w:rPr>
              <w:t xml:space="preserve">Eccentric exercises are often included in the </w:t>
            </w:r>
            <w:r w:rsidR="00AE4D4E">
              <w:rPr>
                <w:sz w:val="18"/>
                <w:szCs w:val="18"/>
              </w:rPr>
              <w:t xml:space="preserve">physical therapy </w:t>
            </w:r>
            <w:r w:rsidR="00656A9D">
              <w:rPr>
                <w:sz w:val="18"/>
                <w:szCs w:val="18"/>
              </w:rPr>
              <w:t xml:space="preserve">treatment of Achilles </w:t>
            </w:r>
            <w:proofErr w:type="spellStart"/>
            <w:r w:rsidR="00656A9D">
              <w:rPr>
                <w:sz w:val="18"/>
                <w:szCs w:val="18"/>
              </w:rPr>
              <w:t>tendinopathy</w:t>
            </w:r>
            <w:proofErr w:type="spellEnd"/>
            <w:r>
              <w:rPr>
                <w:sz w:val="18"/>
                <w:szCs w:val="18"/>
              </w:rPr>
              <w:t>. I would like to investigate this more in detail to determine if it is truly an effective treatment in decreasing patient report of pain. I have encountered a patient in the clinic (via dir</w:t>
            </w:r>
            <w:r w:rsidR="00EA59D4">
              <w:rPr>
                <w:sz w:val="18"/>
                <w:szCs w:val="18"/>
              </w:rPr>
              <w:t xml:space="preserve">ect access) who asked me if </w:t>
            </w:r>
            <w:r w:rsidR="00656A9D">
              <w:rPr>
                <w:sz w:val="18"/>
                <w:szCs w:val="18"/>
              </w:rPr>
              <w:t>she</w:t>
            </w:r>
            <w:r>
              <w:rPr>
                <w:sz w:val="18"/>
                <w:szCs w:val="18"/>
              </w:rPr>
              <w:t xml:space="preserve"> should seek a p</w:t>
            </w:r>
            <w:r w:rsidR="00EA59D4">
              <w:rPr>
                <w:sz w:val="18"/>
                <w:szCs w:val="18"/>
              </w:rPr>
              <w:t xml:space="preserve">hysician for management of </w:t>
            </w:r>
            <w:r w:rsidR="00656A9D">
              <w:rPr>
                <w:sz w:val="18"/>
                <w:szCs w:val="18"/>
              </w:rPr>
              <w:t>her</w:t>
            </w:r>
            <w:r w:rsidR="00FA4B3E">
              <w:rPr>
                <w:sz w:val="18"/>
                <w:szCs w:val="18"/>
              </w:rPr>
              <w:t xml:space="preserve"> Achilles </w:t>
            </w:r>
            <w:proofErr w:type="spellStart"/>
            <w:r w:rsidR="00FA4B3E">
              <w:rPr>
                <w:sz w:val="18"/>
                <w:szCs w:val="18"/>
              </w:rPr>
              <w:t>tendinopathy</w:t>
            </w:r>
            <w:proofErr w:type="spellEnd"/>
            <w:r>
              <w:rPr>
                <w:sz w:val="18"/>
                <w:szCs w:val="18"/>
              </w:rPr>
              <w:t xml:space="preserve"> and if I would recommend a corticosteroid injection for relief of pain. Through this evidence-based search, I hope to find a valid answer to this question. Moreover, if the literature indicates corticosteroids as being more beneficial than ec</w:t>
            </w:r>
            <w:bookmarkStart w:id="0" w:name="_GoBack"/>
            <w:bookmarkEnd w:id="0"/>
            <w:r>
              <w:rPr>
                <w:sz w:val="18"/>
                <w:szCs w:val="18"/>
              </w:rPr>
              <w:t xml:space="preserve">centric exercises in decreasing pain, this would prompt me to research other common physical therapy treatments for the management of a patient with Achilles tendinitis. </w:t>
            </w:r>
          </w:p>
          <w:p w14:paraId="32B155CA" w14:textId="77777777" w:rsidR="00A66A42" w:rsidRPr="002F16E1" w:rsidRDefault="00A66A42" w:rsidP="002F16E1">
            <w:pPr>
              <w:spacing w:before="120" w:after="120"/>
              <w:rPr>
                <w:b/>
                <w:sz w:val="18"/>
                <w:szCs w:val="18"/>
              </w:rPr>
            </w:pPr>
          </w:p>
        </w:tc>
      </w:tr>
    </w:tbl>
    <w:p w14:paraId="00348BFA" w14:textId="77777777" w:rsidR="00554FFC" w:rsidRDefault="00554FFC" w:rsidP="00A66A42">
      <w:pPr>
        <w:spacing w:before="120"/>
        <w:rPr>
          <w:b/>
          <w:sz w:val="18"/>
          <w:szCs w:val="18"/>
        </w:rPr>
      </w:pPr>
    </w:p>
    <w:p w14:paraId="7AEA96DC" w14:textId="77777777" w:rsidR="00A66A42" w:rsidRPr="00A66A42" w:rsidRDefault="00A66A42" w:rsidP="00A66A42">
      <w:pPr>
        <w:spacing w:before="120"/>
        <w:rPr>
          <w:b/>
          <w:sz w:val="18"/>
          <w:szCs w:val="18"/>
        </w:rPr>
      </w:pPr>
      <w:r w:rsidRPr="00A66A42">
        <w:rPr>
          <w:b/>
          <w:sz w:val="18"/>
          <w:szCs w:val="18"/>
        </w:rPr>
        <w:t>SUMMARY OF SEARCH</w:t>
      </w:r>
    </w:p>
    <w:p w14:paraId="14AA7A1A"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5F62642F" w14:textId="77777777" w:rsidTr="002F16E1">
        <w:tc>
          <w:tcPr>
            <w:tcW w:w="10421" w:type="dxa"/>
            <w:shd w:val="clear" w:color="auto" w:fill="auto"/>
          </w:tcPr>
          <w:p w14:paraId="0CD5E17C" w14:textId="6156845B" w:rsidR="00791E03" w:rsidRDefault="00791E03" w:rsidP="00791E03">
            <w:pPr>
              <w:pStyle w:val="ListParagraph"/>
              <w:numPr>
                <w:ilvl w:val="0"/>
                <w:numId w:val="34"/>
              </w:numPr>
              <w:spacing w:before="120" w:after="120"/>
              <w:rPr>
                <w:sz w:val="18"/>
                <w:szCs w:val="18"/>
              </w:rPr>
            </w:pPr>
            <w:r>
              <w:rPr>
                <w:sz w:val="18"/>
                <w:szCs w:val="18"/>
              </w:rPr>
              <w:t>Fourteen studies were located that met the inclusion/exclusion criteria, including 10 randomized controlled trials, 1 systematic review of randomized controlled trials, 2 case series, and 1 retrospective study. Three studies were reviewed in detail.</w:t>
            </w:r>
          </w:p>
          <w:p w14:paraId="4CB94C65" w14:textId="031F7E52" w:rsidR="00791E03" w:rsidRDefault="006759C0" w:rsidP="00791E03">
            <w:pPr>
              <w:pStyle w:val="ListParagraph"/>
              <w:numPr>
                <w:ilvl w:val="0"/>
                <w:numId w:val="34"/>
              </w:numPr>
              <w:spacing w:before="120" w:after="120"/>
              <w:rPr>
                <w:sz w:val="18"/>
                <w:szCs w:val="18"/>
              </w:rPr>
            </w:pPr>
            <w:r>
              <w:rPr>
                <w:sz w:val="18"/>
                <w:szCs w:val="18"/>
              </w:rPr>
              <w:t xml:space="preserve">There were significant improvements in pain, both statistically and clinically, </w:t>
            </w:r>
            <w:r w:rsidR="00F57E57">
              <w:rPr>
                <w:sz w:val="18"/>
                <w:szCs w:val="18"/>
              </w:rPr>
              <w:t>with the use of an</w:t>
            </w:r>
            <w:r w:rsidR="000D797C">
              <w:rPr>
                <w:sz w:val="18"/>
                <w:szCs w:val="18"/>
              </w:rPr>
              <w:t xml:space="preserve"> eccentric exercise protocol or</w:t>
            </w:r>
            <w:r w:rsidR="00F57E57">
              <w:rPr>
                <w:sz w:val="18"/>
                <w:szCs w:val="18"/>
              </w:rPr>
              <w:t xml:space="preserve"> repetitive low-energy shock-wave therapy</w:t>
            </w:r>
            <w:r w:rsidR="000D797C">
              <w:rPr>
                <w:sz w:val="18"/>
                <w:szCs w:val="18"/>
              </w:rPr>
              <w:t xml:space="preserve"> over a 12-week period</w:t>
            </w:r>
            <w:r w:rsidR="00F57E57">
              <w:rPr>
                <w:sz w:val="18"/>
                <w:szCs w:val="18"/>
              </w:rPr>
              <w:t xml:space="preserve">. </w:t>
            </w:r>
          </w:p>
          <w:p w14:paraId="1474D686" w14:textId="44815096" w:rsidR="00F57E57" w:rsidRPr="00791E03" w:rsidRDefault="000D797C" w:rsidP="00791E03">
            <w:pPr>
              <w:pStyle w:val="ListParagraph"/>
              <w:numPr>
                <w:ilvl w:val="0"/>
                <w:numId w:val="34"/>
              </w:numPr>
              <w:spacing w:before="120" w:after="120"/>
              <w:rPr>
                <w:sz w:val="18"/>
                <w:szCs w:val="18"/>
              </w:rPr>
            </w:pPr>
            <w:r>
              <w:rPr>
                <w:sz w:val="18"/>
                <w:szCs w:val="18"/>
              </w:rPr>
              <w:t>There were no statistical or clinically significant improvement</w:t>
            </w:r>
            <w:r w:rsidR="000F24E9">
              <w:rPr>
                <w:sz w:val="18"/>
                <w:szCs w:val="18"/>
              </w:rPr>
              <w:t>s</w:t>
            </w:r>
            <w:r>
              <w:rPr>
                <w:sz w:val="18"/>
                <w:szCs w:val="18"/>
              </w:rPr>
              <w:t xml:space="preserve"> in pain with the use of a steroid injection. </w:t>
            </w:r>
          </w:p>
          <w:p w14:paraId="6A0510CC" w14:textId="586F408C" w:rsidR="00A66A42" w:rsidRPr="002F16E1" w:rsidRDefault="00A66A42" w:rsidP="002F16E1">
            <w:pPr>
              <w:spacing w:before="120" w:after="120"/>
              <w:rPr>
                <w:sz w:val="18"/>
                <w:szCs w:val="18"/>
              </w:rPr>
            </w:pPr>
          </w:p>
        </w:tc>
      </w:tr>
    </w:tbl>
    <w:p w14:paraId="5CAA4580"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44E665EB" w14:textId="77777777" w:rsidTr="002F16E1">
        <w:tc>
          <w:tcPr>
            <w:tcW w:w="10421" w:type="dxa"/>
            <w:shd w:val="clear" w:color="auto" w:fill="auto"/>
          </w:tcPr>
          <w:p w14:paraId="200041BB" w14:textId="3B63BBF4" w:rsidR="00637684" w:rsidRPr="002F16E1" w:rsidRDefault="00656A9D" w:rsidP="002F16E1">
            <w:pPr>
              <w:spacing w:before="120" w:after="120"/>
              <w:rPr>
                <w:sz w:val="18"/>
                <w:szCs w:val="18"/>
              </w:rPr>
            </w:pPr>
            <w:r>
              <w:rPr>
                <w:sz w:val="18"/>
                <w:szCs w:val="18"/>
              </w:rPr>
              <w:t>Current best e</w:t>
            </w:r>
            <w:r w:rsidR="00613C0C">
              <w:rPr>
                <w:sz w:val="18"/>
                <w:szCs w:val="18"/>
              </w:rPr>
              <w:t xml:space="preserve">vidence suggests that an eccentric exercise protocol </w:t>
            </w:r>
            <w:r w:rsidR="00791E03">
              <w:rPr>
                <w:sz w:val="18"/>
                <w:szCs w:val="18"/>
              </w:rPr>
              <w:t>results in greater pain reduction than a steroid injection</w:t>
            </w:r>
            <w:r w:rsidR="0011174D">
              <w:rPr>
                <w:sz w:val="18"/>
                <w:szCs w:val="18"/>
              </w:rPr>
              <w:t xml:space="preserve"> in Achilles </w:t>
            </w:r>
            <w:proofErr w:type="spellStart"/>
            <w:r w:rsidR="0011174D">
              <w:rPr>
                <w:sz w:val="18"/>
                <w:szCs w:val="18"/>
              </w:rPr>
              <w:t>tendinopathy</w:t>
            </w:r>
            <w:proofErr w:type="spellEnd"/>
            <w:r w:rsidR="00613C0C">
              <w:rPr>
                <w:sz w:val="18"/>
                <w:szCs w:val="18"/>
              </w:rPr>
              <w:t>.</w:t>
            </w:r>
            <w:r w:rsidR="00971AA8">
              <w:rPr>
                <w:sz w:val="18"/>
                <w:szCs w:val="18"/>
              </w:rPr>
              <w:t xml:space="preserve"> Patients who performed eccentric exercises </w:t>
            </w:r>
            <w:r w:rsidR="0011174D">
              <w:rPr>
                <w:sz w:val="18"/>
                <w:szCs w:val="18"/>
              </w:rPr>
              <w:t xml:space="preserve">on a daily basis for a 12-week period demonstrated significant reductions in pain and increased activity levels. Conversely, limited research indicates that steroid injections have no benefit in pain reduction over 12 weeks. Eccentric exercises delivered through a physical therapist protocol are an appropriate, non-invasive alternative to steroid injections. Further research </w:t>
            </w:r>
            <w:r w:rsidR="009917C7">
              <w:rPr>
                <w:sz w:val="18"/>
                <w:szCs w:val="18"/>
              </w:rPr>
              <w:t xml:space="preserve">of high methodological quality </w:t>
            </w:r>
            <w:r w:rsidR="0011174D">
              <w:rPr>
                <w:sz w:val="18"/>
                <w:szCs w:val="18"/>
              </w:rPr>
              <w:t xml:space="preserve">is required to </w:t>
            </w:r>
            <w:r w:rsidR="009917C7">
              <w:rPr>
                <w:sz w:val="18"/>
                <w:szCs w:val="18"/>
              </w:rPr>
              <w:t xml:space="preserve">study the benefits of steroid injections in pain reduction in this population. </w:t>
            </w:r>
          </w:p>
        </w:tc>
      </w:tr>
    </w:tbl>
    <w:p w14:paraId="55E0D10B"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716ECD9F" w14:textId="77777777" w:rsidTr="002F16E1">
        <w:tc>
          <w:tcPr>
            <w:tcW w:w="10421" w:type="dxa"/>
            <w:shd w:val="clear" w:color="auto" w:fill="E6E6E6"/>
          </w:tcPr>
          <w:p w14:paraId="2CC089AF"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D1D29FF"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897"/>
        <w:gridCol w:w="2437"/>
        <w:gridCol w:w="2579"/>
      </w:tblGrid>
      <w:tr w:rsidR="00554FFC" w:rsidRPr="002F16E1" w14:paraId="293951E2" w14:textId="77777777" w:rsidTr="009E380F">
        <w:tc>
          <w:tcPr>
            <w:tcW w:w="10908" w:type="dxa"/>
            <w:gridSpan w:val="4"/>
            <w:shd w:val="clear" w:color="auto" w:fill="E6E6E6"/>
          </w:tcPr>
          <w:p w14:paraId="22E0E83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024745D3" w14:textId="77777777" w:rsidTr="009E380F">
        <w:tc>
          <w:tcPr>
            <w:tcW w:w="2628" w:type="dxa"/>
            <w:tcBorders>
              <w:right w:val="single" w:sz="8" w:space="0" w:color="auto"/>
            </w:tcBorders>
            <w:shd w:val="clear" w:color="auto" w:fill="auto"/>
          </w:tcPr>
          <w:p w14:paraId="17072505"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0823E319"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63CBE4FC"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01C8C83"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7A130E68" w14:textId="77777777" w:rsidTr="009E380F">
        <w:tc>
          <w:tcPr>
            <w:tcW w:w="2628" w:type="dxa"/>
            <w:tcBorders>
              <w:right w:val="single" w:sz="8" w:space="0" w:color="auto"/>
            </w:tcBorders>
            <w:shd w:val="clear" w:color="auto" w:fill="auto"/>
          </w:tcPr>
          <w:p w14:paraId="1C648298" w14:textId="28B5550B" w:rsidR="00554FFC" w:rsidRDefault="004C2026" w:rsidP="009E380F">
            <w:pPr>
              <w:spacing w:before="120" w:after="120"/>
              <w:rPr>
                <w:rFonts w:ascii="Arial" w:hAnsi="Arial"/>
              </w:rPr>
            </w:pPr>
            <w:r>
              <w:rPr>
                <w:rFonts w:ascii="Arial" w:hAnsi="Arial"/>
              </w:rPr>
              <w:t>Active</w:t>
            </w:r>
          </w:p>
          <w:p w14:paraId="3894DC21" w14:textId="77777777" w:rsidR="004C2026" w:rsidRDefault="004C2026" w:rsidP="009E380F">
            <w:pPr>
              <w:spacing w:before="120" w:after="120"/>
              <w:rPr>
                <w:rFonts w:ascii="Arial" w:hAnsi="Arial"/>
              </w:rPr>
            </w:pPr>
            <w:r>
              <w:rPr>
                <w:rFonts w:ascii="Arial" w:hAnsi="Arial"/>
              </w:rPr>
              <w:t>Run*</w:t>
            </w:r>
          </w:p>
          <w:p w14:paraId="0B1ADCD0" w14:textId="77777777" w:rsidR="004C2026" w:rsidRDefault="004C2026" w:rsidP="009E380F">
            <w:pPr>
              <w:spacing w:before="120" w:after="120"/>
              <w:rPr>
                <w:rFonts w:ascii="Arial" w:hAnsi="Arial"/>
              </w:rPr>
            </w:pPr>
            <w:r>
              <w:rPr>
                <w:rFonts w:ascii="Arial" w:hAnsi="Arial"/>
              </w:rPr>
              <w:t>Achilles tendinitis</w:t>
            </w:r>
          </w:p>
          <w:p w14:paraId="2EE8814E" w14:textId="77777777" w:rsidR="004C2026" w:rsidRDefault="004C2026" w:rsidP="009E380F">
            <w:pPr>
              <w:spacing w:before="120" w:after="120"/>
              <w:rPr>
                <w:rFonts w:ascii="Arial" w:hAnsi="Arial"/>
              </w:rPr>
            </w:pPr>
            <w:r>
              <w:rPr>
                <w:rFonts w:ascii="Arial" w:hAnsi="Arial"/>
              </w:rPr>
              <w:t xml:space="preserve">Achilles </w:t>
            </w:r>
            <w:proofErr w:type="spellStart"/>
            <w:r>
              <w:rPr>
                <w:rFonts w:ascii="Arial" w:hAnsi="Arial"/>
              </w:rPr>
              <w:t>tendinosis</w:t>
            </w:r>
            <w:proofErr w:type="spellEnd"/>
          </w:p>
          <w:p w14:paraId="034E6707" w14:textId="4F8C5A51" w:rsidR="004C2026" w:rsidRPr="002F16E1" w:rsidRDefault="004C2026" w:rsidP="009E380F">
            <w:pPr>
              <w:spacing w:before="120" w:after="120"/>
              <w:rPr>
                <w:rFonts w:ascii="Arial" w:hAnsi="Arial"/>
              </w:rPr>
            </w:pPr>
            <w:r>
              <w:rPr>
                <w:rFonts w:ascii="Arial" w:hAnsi="Arial"/>
              </w:rPr>
              <w:t xml:space="preserve">Achilles </w:t>
            </w:r>
            <w:proofErr w:type="spellStart"/>
            <w:r>
              <w:rPr>
                <w:rFonts w:ascii="Arial" w:hAnsi="Arial"/>
              </w:rPr>
              <w:t>tendinopathy</w:t>
            </w:r>
            <w:proofErr w:type="spellEnd"/>
          </w:p>
        </w:tc>
        <w:tc>
          <w:tcPr>
            <w:tcW w:w="3060" w:type="dxa"/>
            <w:tcBorders>
              <w:left w:val="single" w:sz="8" w:space="0" w:color="auto"/>
            </w:tcBorders>
            <w:shd w:val="clear" w:color="auto" w:fill="auto"/>
          </w:tcPr>
          <w:p w14:paraId="6C191B69" w14:textId="77777777" w:rsidR="00554FFC" w:rsidRDefault="004C2026" w:rsidP="009E380F">
            <w:pPr>
              <w:spacing w:before="120" w:after="120"/>
              <w:rPr>
                <w:rFonts w:ascii="Arial" w:hAnsi="Arial"/>
              </w:rPr>
            </w:pPr>
            <w:r>
              <w:rPr>
                <w:rFonts w:ascii="Arial" w:hAnsi="Arial"/>
              </w:rPr>
              <w:t>Eccentric exercise*</w:t>
            </w:r>
          </w:p>
          <w:p w14:paraId="1A3D6A4E" w14:textId="77777777" w:rsidR="004C2026" w:rsidRDefault="004C2026" w:rsidP="009E380F">
            <w:pPr>
              <w:spacing w:before="120" w:after="120"/>
              <w:rPr>
                <w:rFonts w:ascii="Arial" w:hAnsi="Arial"/>
              </w:rPr>
            </w:pPr>
            <w:r>
              <w:rPr>
                <w:rFonts w:ascii="Arial" w:hAnsi="Arial"/>
              </w:rPr>
              <w:t>Eccentric*</w:t>
            </w:r>
          </w:p>
          <w:p w14:paraId="7F41BF65" w14:textId="77777777" w:rsidR="004C2026" w:rsidRDefault="004C2026" w:rsidP="009E380F">
            <w:pPr>
              <w:spacing w:before="120" w:after="120"/>
              <w:rPr>
                <w:rFonts w:ascii="Arial" w:hAnsi="Arial"/>
              </w:rPr>
            </w:pPr>
            <w:r>
              <w:rPr>
                <w:rFonts w:ascii="Arial" w:hAnsi="Arial"/>
              </w:rPr>
              <w:t>Eccentric decline</w:t>
            </w:r>
          </w:p>
          <w:p w14:paraId="2DDAD2FD" w14:textId="77777777" w:rsidR="004C2026" w:rsidRDefault="004C2026" w:rsidP="009E380F">
            <w:pPr>
              <w:spacing w:before="120" w:after="120"/>
              <w:rPr>
                <w:rFonts w:ascii="Arial" w:hAnsi="Arial"/>
              </w:rPr>
            </w:pPr>
            <w:r>
              <w:rPr>
                <w:rFonts w:ascii="Arial" w:hAnsi="Arial"/>
              </w:rPr>
              <w:t>Eccentric loading</w:t>
            </w:r>
          </w:p>
          <w:p w14:paraId="15D825ED" w14:textId="77777777" w:rsidR="004C2026" w:rsidRDefault="004C2026" w:rsidP="009E380F">
            <w:pPr>
              <w:spacing w:before="120" w:after="120"/>
              <w:rPr>
                <w:rFonts w:ascii="Arial" w:hAnsi="Arial"/>
              </w:rPr>
            </w:pPr>
            <w:r>
              <w:rPr>
                <w:rFonts w:ascii="Arial" w:hAnsi="Arial"/>
              </w:rPr>
              <w:t>Physical therapy</w:t>
            </w:r>
          </w:p>
          <w:p w14:paraId="7BA8609C" w14:textId="56E73D54" w:rsidR="004C2026" w:rsidRDefault="004C2026" w:rsidP="009E380F">
            <w:pPr>
              <w:spacing w:before="120" w:after="120"/>
              <w:rPr>
                <w:rFonts w:ascii="Arial" w:hAnsi="Arial"/>
              </w:rPr>
            </w:pPr>
            <w:r>
              <w:rPr>
                <w:rFonts w:ascii="Arial" w:hAnsi="Arial"/>
              </w:rPr>
              <w:t>Physiotherapy</w:t>
            </w:r>
          </w:p>
          <w:p w14:paraId="0028929E" w14:textId="0FF42E85" w:rsidR="004C2026" w:rsidRDefault="004C2026" w:rsidP="009E380F">
            <w:pPr>
              <w:spacing w:before="120" w:after="120"/>
              <w:rPr>
                <w:rFonts w:ascii="Arial" w:hAnsi="Arial"/>
              </w:rPr>
            </w:pPr>
            <w:r>
              <w:rPr>
                <w:rFonts w:ascii="Arial" w:hAnsi="Arial"/>
              </w:rPr>
              <w:t>Rehabilitation</w:t>
            </w:r>
          </w:p>
          <w:p w14:paraId="71D333EF" w14:textId="25A94EF4" w:rsidR="004C2026" w:rsidRPr="002F16E1" w:rsidRDefault="004C2026" w:rsidP="009E380F">
            <w:pPr>
              <w:spacing w:before="120" w:after="120"/>
              <w:rPr>
                <w:rFonts w:ascii="Arial" w:hAnsi="Arial"/>
              </w:rPr>
            </w:pPr>
            <w:r>
              <w:rPr>
                <w:rFonts w:ascii="Arial" w:hAnsi="Arial"/>
              </w:rPr>
              <w:t>Load</w:t>
            </w:r>
          </w:p>
        </w:tc>
        <w:tc>
          <w:tcPr>
            <w:tcW w:w="2493" w:type="dxa"/>
            <w:tcBorders>
              <w:left w:val="single" w:sz="8" w:space="0" w:color="auto"/>
            </w:tcBorders>
            <w:shd w:val="clear" w:color="auto" w:fill="auto"/>
          </w:tcPr>
          <w:p w14:paraId="248DD913" w14:textId="77777777" w:rsidR="004C2026" w:rsidRDefault="004C2026" w:rsidP="004C2026">
            <w:pPr>
              <w:spacing w:before="120" w:after="120"/>
              <w:rPr>
                <w:rFonts w:ascii="Arial" w:hAnsi="Arial"/>
              </w:rPr>
            </w:pPr>
            <w:r>
              <w:rPr>
                <w:rFonts w:ascii="Arial" w:hAnsi="Arial"/>
              </w:rPr>
              <w:t>Corticosteroid injection*</w:t>
            </w:r>
          </w:p>
          <w:p w14:paraId="70CD802C" w14:textId="77777777" w:rsidR="004C2026" w:rsidRDefault="004C2026" w:rsidP="004C2026">
            <w:pPr>
              <w:spacing w:before="120" w:after="120"/>
              <w:rPr>
                <w:rFonts w:ascii="Arial" w:hAnsi="Arial"/>
              </w:rPr>
            </w:pPr>
            <w:r>
              <w:rPr>
                <w:rFonts w:ascii="Arial" w:hAnsi="Arial"/>
              </w:rPr>
              <w:t xml:space="preserve">Injection </w:t>
            </w:r>
          </w:p>
          <w:p w14:paraId="16BB02C3" w14:textId="77777777" w:rsidR="004C2026" w:rsidRDefault="004C2026" w:rsidP="004C2026">
            <w:pPr>
              <w:spacing w:before="120" w:after="120"/>
              <w:rPr>
                <w:rFonts w:ascii="Arial" w:hAnsi="Arial"/>
              </w:rPr>
            </w:pPr>
            <w:r>
              <w:rPr>
                <w:rFonts w:ascii="Arial" w:hAnsi="Arial"/>
              </w:rPr>
              <w:t>Corticosteroid*</w:t>
            </w:r>
          </w:p>
          <w:p w14:paraId="1F65A02C" w14:textId="77777777" w:rsidR="004C2026" w:rsidRDefault="004C2026" w:rsidP="004C2026">
            <w:pPr>
              <w:spacing w:before="120" w:after="120"/>
              <w:rPr>
                <w:rFonts w:ascii="Arial" w:hAnsi="Arial"/>
              </w:rPr>
            </w:pPr>
            <w:r>
              <w:rPr>
                <w:rFonts w:ascii="Arial" w:hAnsi="Arial"/>
              </w:rPr>
              <w:t xml:space="preserve">Steroid </w:t>
            </w:r>
          </w:p>
          <w:p w14:paraId="18BE8DB4" w14:textId="77777777" w:rsidR="004C2026" w:rsidRDefault="004C2026" w:rsidP="004C2026">
            <w:pPr>
              <w:spacing w:before="120" w:after="120"/>
              <w:rPr>
                <w:rFonts w:ascii="Arial" w:hAnsi="Arial"/>
              </w:rPr>
            </w:pPr>
            <w:r>
              <w:rPr>
                <w:rFonts w:ascii="Arial" w:hAnsi="Arial"/>
              </w:rPr>
              <w:t>Cortisone</w:t>
            </w:r>
          </w:p>
          <w:p w14:paraId="614F046F" w14:textId="77777777" w:rsidR="004C2026" w:rsidRPr="00556E9F" w:rsidRDefault="004C2026" w:rsidP="004C2026">
            <w:pPr>
              <w:spacing w:line="360" w:lineRule="auto"/>
              <w:rPr>
                <w:rFonts w:ascii="Arial" w:hAnsi="Arial" w:cs="Arial"/>
                <w:color w:val="333333"/>
                <w:shd w:val="clear" w:color="auto" w:fill="FFFFFF"/>
                <w:lang w:val="en-US"/>
              </w:rPr>
            </w:pPr>
            <w:r w:rsidRPr="00556E9F">
              <w:rPr>
                <w:rFonts w:ascii="Arial" w:hAnsi="Arial" w:cs="Arial"/>
                <w:color w:val="333333"/>
                <w:shd w:val="clear" w:color="auto" w:fill="FFFFFF"/>
                <w:lang w:val="en-US"/>
              </w:rPr>
              <w:t>Triamcinolone</w:t>
            </w:r>
          </w:p>
          <w:p w14:paraId="2F6A128F" w14:textId="77777777" w:rsidR="004C2026" w:rsidRPr="00556E9F" w:rsidRDefault="004C2026" w:rsidP="004C2026">
            <w:pPr>
              <w:spacing w:line="360" w:lineRule="auto"/>
              <w:rPr>
                <w:rFonts w:ascii="Arial" w:hAnsi="Arial" w:cs="Arial"/>
                <w:color w:val="333333"/>
                <w:shd w:val="clear" w:color="auto" w:fill="FFFFFF"/>
                <w:lang w:val="en-US"/>
              </w:rPr>
            </w:pPr>
            <w:proofErr w:type="spellStart"/>
            <w:r w:rsidRPr="00556E9F">
              <w:rPr>
                <w:rFonts w:ascii="Arial" w:hAnsi="Arial" w:cs="Arial"/>
                <w:color w:val="333333"/>
                <w:shd w:val="clear" w:color="auto" w:fill="FFFFFF"/>
                <w:lang w:val="en-US"/>
              </w:rPr>
              <w:t>Kenalog</w:t>
            </w:r>
            <w:proofErr w:type="spellEnd"/>
          </w:p>
          <w:p w14:paraId="1356B192" w14:textId="77777777" w:rsidR="004C2026" w:rsidRPr="00556E9F" w:rsidRDefault="004C2026" w:rsidP="004C2026">
            <w:pPr>
              <w:spacing w:line="360" w:lineRule="auto"/>
              <w:rPr>
                <w:rFonts w:ascii="Times" w:hAnsi="Times"/>
                <w:lang w:val="en-US"/>
              </w:rPr>
            </w:pPr>
            <w:r>
              <w:rPr>
                <w:rFonts w:ascii="Arial" w:hAnsi="Arial" w:cs="Arial"/>
                <w:color w:val="333333"/>
                <w:shd w:val="clear" w:color="auto" w:fill="FFFFFF"/>
                <w:lang w:val="en-US"/>
              </w:rPr>
              <w:t>B</w:t>
            </w:r>
            <w:r w:rsidRPr="00556E9F">
              <w:rPr>
                <w:rFonts w:ascii="Arial" w:hAnsi="Arial" w:cs="Arial"/>
                <w:color w:val="333333"/>
                <w:shd w:val="clear" w:color="auto" w:fill="FFFFFF"/>
                <w:lang w:val="en-US"/>
              </w:rPr>
              <w:t>etamethasone </w:t>
            </w:r>
          </w:p>
          <w:p w14:paraId="7FE6FBA9" w14:textId="77777777" w:rsidR="004C2026" w:rsidRPr="00556E9F" w:rsidRDefault="004C2026" w:rsidP="004C2026">
            <w:pPr>
              <w:spacing w:line="360" w:lineRule="auto"/>
              <w:rPr>
                <w:rFonts w:ascii="Times" w:hAnsi="Times"/>
                <w:lang w:val="en-US"/>
              </w:rPr>
            </w:pPr>
            <w:proofErr w:type="spellStart"/>
            <w:r w:rsidRPr="00556E9F">
              <w:rPr>
                <w:rFonts w:ascii="Arial" w:hAnsi="Arial" w:cs="Arial"/>
                <w:color w:val="333333"/>
                <w:shd w:val="clear" w:color="auto" w:fill="FFFFFF"/>
                <w:lang w:val="en-US"/>
              </w:rPr>
              <w:t>Celestone</w:t>
            </w:r>
            <w:proofErr w:type="spellEnd"/>
          </w:p>
          <w:p w14:paraId="5B51897D" w14:textId="77777777" w:rsidR="004C2026" w:rsidRPr="00556E9F" w:rsidRDefault="004C2026" w:rsidP="004C2026">
            <w:pPr>
              <w:spacing w:line="360" w:lineRule="auto"/>
              <w:rPr>
                <w:rFonts w:ascii="Times" w:hAnsi="Times"/>
                <w:lang w:val="en-US"/>
              </w:rPr>
            </w:pPr>
            <w:r>
              <w:rPr>
                <w:rFonts w:ascii="Arial" w:hAnsi="Arial" w:cs="Arial"/>
                <w:color w:val="333333"/>
                <w:shd w:val="clear" w:color="auto" w:fill="FFFFFF"/>
                <w:lang w:val="en-US"/>
              </w:rPr>
              <w:t>M</w:t>
            </w:r>
            <w:r w:rsidRPr="00556E9F">
              <w:rPr>
                <w:rFonts w:ascii="Arial" w:hAnsi="Arial" w:cs="Arial"/>
                <w:color w:val="333333"/>
                <w:shd w:val="clear" w:color="auto" w:fill="FFFFFF"/>
                <w:lang w:val="en-US"/>
              </w:rPr>
              <w:t>ethylprednisolone</w:t>
            </w:r>
          </w:p>
          <w:p w14:paraId="62146D6E" w14:textId="77777777" w:rsidR="004C2026" w:rsidRPr="00556E9F" w:rsidRDefault="004C2026" w:rsidP="004C2026">
            <w:pPr>
              <w:spacing w:line="360" w:lineRule="auto"/>
              <w:rPr>
                <w:rFonts w:ascii="Times" w:hAnsi="Times"/>
                <w:lang w:val="en-US"/>
              </w:rPr>
            </w:pPr>
            <w:proofErr w:type="spellStart"/>
            <w:r w:rsidRPr="00556E9F">
              <w:rPr>
                <w:rFonts w:ascii="Arial" w:hAnsi="Arial" w:cs="Arial"/>
                <w:color w:val="333333"/>
                <w:shd w:val="clear" w:color="auto" w:fill="FFFFFF"/>
                <w:lang w:val="en-US"/>
              </w:rPr>
              <w:t>Depo</w:t>
            </w:r>
            <w:proofErr w:type="spellEnd"/>
            <w:r w:rsidRPr="00556E9F">
              <w:rPr>
                <w:rFonts w:ascii="Arial" w:hAnsi="Arial" w:cs="Arial"/>
                <w:color w:val="333333"/>
                <w:shd w:val="clear" w:color="auto" w:fill="FFFFFF"/>
                <w:lang w:val="en-US"/>
              </w:rPr>
              <w:t>-Medrol</w:t>
            </w:r>
          </w:p>
          <w:p w14:paraId="4E7C5819"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1660DD50" w14:textId="77777777" w:rsidR="00554FFC" w:rsidRDefault="004C2026" w:rsidP="009E380F">
            <w:pPr>
              <w:spacing w:before="120" w:after="120"/>
              <w:rPr>
                <w:rFonts w:ascii="Arial" w:hAnsi="Arial"/>
              </w:rPr>
            </w:pPr>
            <w:r>
              <w:rPr>
                <w:rFonts w:ascii="Arial" w:hAnsi="Arial"/>
              </w:rPr>
              <w:t>Pain</w:t>
            </w:r>
          </w:p>
          <w:p w14:paraId="134C883C" w14:textId="170B0250" w:rsidR="004C2026" w:rsidRPr="002F16E1" w:rsidRDefault="004C2026" w:rsidP="009E380F">
            <w:pPr>
              <w:spacing w:before="120" w:after="120"/>
              <w:rPr>
                <w:rFonts w:ascii="Arial" w:hAnsi="Arial"/>
              </w:rPr>
            </w:pPr>
            <w:r>
              <w:rPr>
                <w:rFonts w:ascii="Arial" w:hAnsi="Arial"/>
              </w:rPr>
              <w:t>Discomfort</w:t>
            </w:r>
          </w:p>
        </w:tc>
      </w:tr>
    </w:tbl>
    <w:p w14:paraId="481C96DB" w14:textId="2F8D555F" w:rsidR="00554FFC" w:rsidRDefault="00554FFC" w:rsidP="00554FFC"/>
    <w:p w14:paraId="552C9F58" w14:textId="7C2E641E" w:rsidR="00C32204" w:rsidRPr="00656A9D" w:rsidRDefault="00554FFC" w:rsidP="00656A9D">
      <w:pPr>
        <w:spacing w:before="120" w:after="120"/>
        <w:rPr>
          <w:b/>
          <w:sz w:val="18"/>
          <w:szCs w:val="18"/>
        </w:rPr>
      </w:pPr>
      <w:r>
        <w:rPr>
          <w:b/>
          <w:sz w:val="18"/>
          <w:szCs w:val="18"/>
        </w:rPr>
        <w:t>Final search strategy:</w:t>
      </w:r>
    </w:p>
    <w:p w14:paraId="5577610E" w14:textId="2BE9D80C" w:rsidR="00554FFC" w:rsidRPr="00C32204" w:rsidRDefault="00C32204" w:rsidP="00C32204">
      <w:r w:rsidRPr="004929A3">
        <w:t>(</w:t>
      </w:r>
      <w:proofErr w:type="spellStart"/>
      <w:proofErr w:type="gramStart"/>
      <w:r w:rsidRPr="004929A3">
        <w:t>achilles</w:t>
      </w:r>
      <w:proofErr w:type="spellEnd"/>
      <w:proofErr w:type="gramEnd"/>
      <w:r w:rsidRPr="004929A3">
        <w:t xml:space="preserve"> OR triceps </w:t>
      </w:r>
      <w:proofErr w:type="spellStart"/>
      <w:r w:rsidRPr="004929A3">
        <w:t>surae</w:t>
      </w:r>
      <w:proofErr w:type="spellEnd"/>
      <w:r w:rsidRPr="004929A3">
        <w:t xml:space="preserve">) AND (tendinitis OR </w:t>
      </w:r>
      <w:proofErr w:type="spellStart"/>
      <w:r w:rsidRPr="004929A3">
        <w:t>tendinosis</w:t>
      </w:r>
      <w:proofErr w:type="spellEnd"/>
      <w:r w:rsidRPr="004929A3">
        <w:t xml:space="preserve"> OR </w:t>
      </w:r>
      <w:proofErr w:type="spellStart"/>
      <w:r w:rsidRPr="004929A3">
        <w:t>tendinopathy</w:t>
      </w:r>
      <w:proofErr w:type="spellEnd"/>
      <w:r w:rsidRPr="004929A3">
        <w:t>) AND (eccentric OR physical therapy OR physiotherapy OR rehabilitation OR load* OR decline)</w:t>
      </w:r>
    </w:p>
    <w:p w14:paraId="469FC937"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828"/>
        <w:gridCol w:w="3776"/>
      </w:tblGrid>
      <w:tr w:rsidR="00554FFC" w:rsidRPr="002F16E1" w14:paraId="6C9F24A9" w14:textId="77777777" w:rsidTr="009E380F">
        <w:tc>
          <w:tcPr>
            <w:tcW w:w="5058" w:type="dxa"/>
            <w:shd w:val="clear" w:color="auto" w:fill="E6E6E6"/>
          </w:tcPr>
          <w:p w14:paraId="7AF71446"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73D1C4B4"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51741038"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5290D533" w14:textId="77777777" w:rsidTr="009E380F">
        <w:tc>
          <w:tcPr>
            <w:tcW w:w="5058" w:type="dxa"/>
            <w:shd w:val="clear" w:color="auto" w:fill="auto"/>
          </w:tcPr>
          <w:p w14:paraId="304E4BF3" w14:textId="45121F79" w:rsidR="00554FFC" w:rsidRPr="002F16E1" w:rsidRDefault="00C32204" w:rsidP="009E380F">
            <w:pPr>
              <w:spacing w:before="120" w:after="120"/>
              <w:rPr>
                <w:b/>
                <w:sz w:val="18"/>
                <w:szCs w:val="18"/>
              </w:rPr>
            </w:pPr>
            <w:r>
              <w:rPr>
                <w:b/>
                <w:sz w:val="18"/>
                <w:szCs w:val="18"/>
              </w:rPr>
              <w:t>PubMed</w:t>
            </w:r>
          </w:p>
          <w:p w14:paraId="46C47A20" w14:textId="77777777" w:rsidR="00554FFC" w:rsidRPr="002F16E1" w:rsidRDefault="00554FFC" w:rsidP="009E380F">
            <w:pPr>
              <w:spacing w:before="120" w:after="120"/>
              <w:rPr>
                <w:b/>
                <w:sz w:val="18"/>
                <w:szCs w:val="18"/>
              </w:rPr>
            </w:pPr>
          </w:p>
          <w:p w14:paraId="7A8DF716" w14:textId="77777777" w:rsidR="00554FFC" w:rsidRPr="002F16E1" w:rsidRDefault="00554FFC" w:rsidP="009E380F">
            <w:pPr>
              <w:spacing w:before="120" w:after="120"/>
              <w:rPr>
                <w:b/>
                <w:sz w:val="18"/>
                <w:szCs w:val="18"/>
              </w:rPr>
            </w:pPr>
          </w:p>
          <w:p w14:paraId="7505D514" w14:textId="77777777" w:rsidR="005F4C9C" w:rsidRDefault="005F4C9C" w:rsidP="009E380F">
            <w:pPr>
              <w:spacing w:before="120" w:after="120"/>
              <w:rPr>
                <w:b/>
                <w:sz w:val="18"/>
                <w:szCs w:val="18"/>
              </w:rPr>
            </w:pPr>
          </w:p>
          <w:p w14:paraId="334D028D" w14:textId="58EEEFA9" w:rsidR="00554FFC" w:rsidRPr="002F16E1" w:rsidRDefault="00C32204" w:rsidP="009E380F">
            <w:pPr>
              <w:spacing w:before="120" w:after="120"/>
              <w:rPr>
                <w:b/>
                <w:sz w:val="18"/>
                <w:szCs w:val="18"/>
              </w:rPr>
            </w:pPr>
            <w:proofErr w:type="spellStart"/>
            <w:r>
              <w:rPr>
                <w:b/>
                <w:sz w:val="18"/>
                <w:szCs w:val="18"/>
              </w:rPr>
              <w:t>SPORTDiscuss</w:t>
            </w:r>
            <w:proofErr w:type="spellEnd"/>
          </w:p>
          <w:p w14:paraId="2C67A2EE" w14:textId="77777777" w:rsidR="00554FFC" w:rsidRPr="002F16E1" w:rsidRDefault="00554FFC" w:rsidP="009E380F">
            <w:pPr>
              <w:spacing w:before="120" w:after="120"/>
              <w:rPr>
                <w:b/>
                <w:sz w:val="18"/>
                <w:szCs w:val="18"/>
              </w:rPr>
            </w:pPr>
          </w:p>
          <w:p w14:paraId="1EE257C9" w14:textId="77777777" w:rsidR="00554FFC" w:rsidRPr="002F16E1" w:rsidRDefault="00554FFC" w:rsidP="009E380F">
            <w:pPr>
              <w:spacing w:before="120" w:after="120"/>
              <w:rPr>
                <w:b/>
                <w:sz w:val="18"/>
                <w:szCs w:val="18"/>
              </w:rPr>
            </w:pPr>
          </w:p>
          <w:p w14:paraId="66FD3709" w14:textId="77777777" w:rsidR="005F4C9C" w:rsidRDefault="005F4C9C" w:rsidP="009E380F">
            <w:pPr>
              <w:spacing w:before="120" w:after="120"/>
              <w:rPr>
                <w:b/>
                <w:sz w:val="18"/>
                <w:szCs w:val="18"/>
              </w:rPr>
            </w:pPr>
          </w:p>
          <w:p w14:paraId="6C4E6CE5" w14:textId="64267AFE" w:rsidR="00554FFC" w:rsidRPr="002F16E1" w:rsidRDefault="00C32204" w:rsidP="009E380F">
            <w:pPr>
              <w:spacing w:before="120" w:after="120"/>
              <w:rPr>
                <w:b/>
                <w:sz w:val="18"/>
                <w:szCs w:val="18"/>
              </w:rPr>
            </w:pPr>
            <w:r>
              <w:rPr>
                <w:b/>
                <w:sz w:val="18"/>
                <w:szCs w:val="18"/>
              </w:rPr>
              <w:t>Cochrane Library</w:t>
            </w:r>
          </w:p>
        </w:tc>
        <w:tc>
          <w:tcPr>
            <w:tcW w:w="1889" w:type="dxa"/>
            <w:shd w:val="clear" w:color="auto" w:fill="auto"/>
          </w:tcPr>
          <w:p w14:paraId="616CFFEF" w14:textId="77777777" w:rsidR="00554FFC" w:rsidRDefault="00C32204" w:rsidP="009E380F">
            <w:pPr>
              <w:spacing w:before="120" w:after="120"/>
              <w:rPr>
                <w:b/>
                <w:sz w:val="18"/>
                <w:szCs w:val="18"/>
              </w:rPr>
            </w:pPr>
            <w:r>
              <w:rPr>
                <w:b/>
                <w:sz w:val="18"/>
                <w:szCs w:val="18"/>
              </w:rPr>
              <w:t>465</w:t>
            </w:r>
          </w:p>
          <w:p w14:paraId="2DA34FFD" w14:textId="77777777" w:rsidR="00C32204" w:rsidRDefault="00C32204" w:rsidP="009E380F">
            <w:pPr>
              <w:spacing w:before="120" w:after="120"/>
              <w:rPr>
                <w:b/>
                <w:sz w:val="18"/>
                <w:szCs w:val="18"/>
              </w:rPr>
            </w:pPr>
          </w:p>
          <w:p w14:paraId="6D40606B" w14:textId="77777777" w:rsidR="00C32204" w:rsidRDefault="00C32204" w:rsidP="009E380F">
            <w:pPr>
              <w:spacing w:before="120" w:after="120"/>
              <w:rPr>
                <w:b/>
                <w:sz w:val="18"/>
                <w:szCs w:val="18"/>
              </w:rPr>
            </w:pPr>
          </w:p>
          <w:p w14:paraId="7BCC4843" w14:textId="77777777" w:rsidR="005F4C9C" w:rsidRDefault="005F4C9C" w:rsidP="009E380F">
            <w:pPr>
              <w:spacing w:before="120" w:after="120"/>
              <w:rPr>
                <w:b/>
                <w:sz w:val="18"/>
                <w:szCs w:val="18"/>
              </w:rPr>
            </w:pPr>
          </w:p>
          <w:p w14:paraId="33494CAC" w14:textId="77777777" w:rsidR="00C32204" w:rsidRDefault="00C32204" w:rsidP="009E380F">
            <w:pPr>
              <w:spacing w:before="120" w:after="120"/>
              <w:rPr>
                <w:b/>
                <w:sz w:val="18"/>
                <w:szCs w:val="18"/>
              </w:rPr>
            </w:pPr>
            <w:r>
              <w:rPr>
                <w:b/>
                <w:sz w:val="18"/>
                <w:szCs w:val="18"/>
              </w:rPr>
              <w:t>323</w:t>
            </w:r>
          </w:p>
          <w:p w14:paraId="1E0F39A1" w14:textId="77777777" w:rsidR="00C32204" w:rsidRDefault="00C32204" w:rsidP="009E380F">
            <w:pPr>
              <w:spacing w:before="120" w:after="120"/>
              <w:rPr>
                <w:b/>
                <w:sz w:val="18"/>
                <w:szCs w:val="18"/>
              </w:rPr>
            </w:pPr>
          </w:p>
          <w:p w14:paraId="4922927B" w14:textId="77777777" w:rsidR="00C32204" w:rsidRDefault="00C32204" w:rsidP="009E380F">
            <w:pPr>
              <w:spacing w:before="120" w:after="120"/>
              <w:rPr>
                <w:b/>
                <w:sz w:val="18"/>
                <w:szCs w:val="18"/>
              </w:rPr>
            </w:pPr>
          </w:p>
          <w:p w14:paraId="1B35487C" w14:textId="77777777" w:rsidR="005F4C9C" w:rsidRDefault="005F4C9C" w:rsidP="009E380F">
            <w:pPr>
              <w:spacing w:before="120" w:after="120"/>
              <w:rPr>
                <w:b/>
                <w:sz w:val="18"/>
                <w:szCs w:val="18"/>
              </w:rPr>
            </w:pPr>
          </w:p>
          <w:p w14:paraId="17B473D9" w14:textId="4E5A4CFA" w:rsidR="00C32204" w:rsidRPr="002F16E1" w:rsidRDefault="00C32204" w:rsidP="009E380F">
            <w:pPr>
              <w:spacing w:before="120" w:after="120"/>
              <w:rPr>
                <w:b/>
                <w:sz w:val="18"/>
                <w:szCs w:val="18"/>
              </w:rPr>
            </w:pPr>
            <w:r>
              <w:rPr>
                <w:b/>
                <w:sz w:val="18"/>
                <w:szCs w:val="18"/>
              </w:rPr>
              <w:t>1</w:t>
            </w:r>
          </w:p>
        </w:tc>
        <w:tc>
          <w:tcPr>
            <w:tcW w:w="3961" w:type="dxa"/>
            <w:shd w:val="clear" w:color="auto" w:fill="auto"/>
          </w:tcPr>
          <w:p w14:paraId="4B13F20F" w14:textId="31FD7962" w:rsidR="00554FFC" w:rsidRDefault="00C32204" w:rsidP="009E380F">
            <w:pPr>
              <w:spacing w:before="120" w:after="120"/>
              <w:rPr>
                <w:b/>
                <w:sz w:val="18"/>
                <w:szCs w:val="18"/>
              </w:rPr>
            </w:pPr>
            <w:r>
              <w:rPr>
                <w:b/>
                <w:sz w:val="18"/>
                <w:szCs w:val="18"/>
              </w:rPr>
              <w:t>- Published within past 10 years</w:t>
            </w:r>
          </w:p>
          <w:p w14:paraId="5C48E048" w14:textId="7C5708E7" w:rsidR="00C32204" w:rsidRDefault="00C32204" w:rsidP="009E380F">
            <w:pPr>
              <w:spacing w:before="120" w:after="120"/>
              <w:rPr>
                <w:b/>
                <w:sz w:val="18"/>
                <w:szCs w:val="18"/>
              </w:rPr>
            </w:pPr>
            <w:r>
              <w:rPr>
                <w:b/>
                <w:sz w:val="18"/>
                <w:szCs w:val="18"/>
              </w:rPr>
              <w:t>- Human studies</w:t>
            </w:r>
          </w:p>
          <w:p w14:paraId="5EA030ED" w14:textId="26934F54" w:rsidR="00C32204" w:rsidRDefault="00C32204" w:rsidP="009E380F">
            <w:pPr>
              <w:spacing w:before="120" w:after="120"/>
              <w:rPr>
                <w:b/>
                <w:sz w:val="18"/>
                <w:szCs w:val="18"/>
              </w:rPr>
            </w:pPr>
            <w:r>
              <w:rPr>
                <w:b/>
                <w:sz w:val="18"/>
                <w:szCs w:val="18"/>
              </w:rPr>
              <w:t>- 251</w:t>
            </w:r>
          </w:p>
          <w:p w14:paraId="129B9091" w14:textId="77777777" w:rsidR="005F4C9C" w:rsidRDefault="005F4C9C" w:rsidP="009E380F">
            <w:pPr>
              <w:spacing w:before="120" w:after="120"/>
              <w:rPr>
                <w:b/>
                <w:sz w:val="18"/>
                <w:szCs w:val="18"/>
              </w:rPr>
            </w:pPr>
          </w:p>
          <w:p w14:paraId="797E4AD3" w14:textId="60FEB5DA" w:rsidR="00C32204" w:rsidRDefault="00C32204" w:rsidP="009E380F">
            <w:pPr>
              <w:spacing w:before="120" w:after="120"/>
              <w:rPr>
                <w:b/>
                <w:sz w:val="18"/>
                <w:szCs w:val="18"/>
              </w:rPr>
            </w:pPr>
            <w:r>
              <w:rPr>
                <w:b/>
                <w:sz w:val="18"/>
                <w:szCs w:val="18"/>
              </w:rPr>
              <w:t>- Published from Jan 2002 – Sep 2014</w:t>
            </w:r>
          </w:p>
          <w:p w14:paraId="7947F9EB" w14:textId="77777777" w:rsidR="00C32204" w:rsidRDefault="00C32204" w:rsidP="009E380F">
            <w:pPr>
              <w:spacing w:before="120" w:after="120"/>
              <w:rPr>
                <w:b/>
                <w:sz w:val="18"/>
                <w:szCs w:val="18"/>
              </w:rPr>
            </w:pPr>
            <w:r>
              <w:rPr>
                <w:b/>
                <w:sz w:val="18"/>
                <w:szCs w:val="18"/>
              </w:rPr>
              <w:t>- 268</w:t>
            </w:r>
          </w:p>
          <w:p w14:paraId="46CC594A" w14:textId="77777777" w:rsidR="00C32204" w:rsidRDefault="00C32204" w:rsidP="009E380F">
            <w:pPr>
              <w:spacing w:before="120" w:after="120"/>
              <w:rPr>
                <w:b/>
                <w:sz w:val="18"/>
                <w:szCs w:val="18"/>
              </w:rPr>
            </w:pPr>
          </w:p>
          <w:p w14:paraId="00CCF99E" w14:textId="33E92775" w:rsidR="00C32204" w:rsidRPr="002F16E1" w:rsidRDefault="00C32204" w:rsidP="009E380F">
            <w:pPr>
              <w:spacing w:before="120" w:after="120"/>
              <w:rPr>
                <w:b/>
                <w:sz w:val="18"/>
                <w:szCs w:val="18"/>
              </w:rPr>
            </w:pPr>
            <w:r>
              <w:rPr>
                <w:b/>
                <w:sz w:val="18"/>
                <w:szCs w:val="18"/>
              </w:rPr>
              <w:t xml:space="preserve">- Once allowed trials, revised number of </w:t>
            </w:r>
            <w:r w:rsidR="005F4C9C">
              <w:rPr>
                <w:b/>
                <w:sz w:val="18"/>
                <w:szCs w:val="18"/>
              </w:rPr>
              <w:t>58</w:t>
            </w:r>
          </w:p>
        </w:tc>
      </w:tr>
    </w:tbl>
    <w:p w14:paraId="194FE537" w14:textId="5739FE0B" w:rsidR="00554FFC" w:rsidRDefault="00554FFC" w:rsidP="00554FFC">
      <w:pPr>
        <w:spacing w:before="120" w:after="120"/>
        <w:rPr>
          <w:b/>
          <w:sz w:val="18"/>
          <w:szCs w:val="18"/>
        </w:rPr>
      </w:pPr>
    </w:p>
    <w:p w14:paraId="1AC3C2FE" w14:textId="77777777" w:rsidR="00656A9D" w:rsidRDefault="00656A9D" w:rsidP="00554FFC">
      <w:pPr>
        <w:spacing w:before="120" w:after="120"/>
        <w:rPr>
          <w:b/>
          <w:sz w:val="18"/>
          <w:szCs w:val="18"/>
        </w:rPr>
      </w:pPr>
    </w:p>
    <w:p w14:paraId="631C59EC" w14:textId="77777777" w:rsidR="00656A9D" w:rsidRDefault="00656A9D" w:rsidP="00554FFC">
      <w:pPr>
        <w:spacing w:before="120" w:after="120"/>
        <w:rPr>
          <w:b/>
          <w:sz w:val="18"/>
          <w:szCs w:val="18"/>
        </w:rPr>
      </w:pPr>
    </w:p>
    <w:p w14:paraId="29192C33"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270DC186" w14:textId="77777777" w:rsidTr="009E380F">
        <w:tc>
          <w:tcPr>
            <w:tcW w:w="10421" w:type="dxa"/>
            <w:shd w:val="clear" w:color="auto" w:fill="E6E6E6"/>
          </w:tcPr>
          <w:p w14:paraId="45C1635D" w14:textId="77777777" w:rsidR="00554FFC" w:rsidRPr="002F16E1" w:rsidRDefault="00554FFC" w:rsidP="009E380F">
            <w:pPr>
              <w:spacing w:before="120" w:after="120"/>
              <w:rPr>
                <w:b/>
              </w:rPr>
            </w:pPr>
            <w:r w:rsidRPr="002F16E1">
              <w:rPr>
                <w:b/>
              </w:rPr>
              <w:t>Inclusion Criteria</w:t>
            </w:r>
          </w:p>
        </w:tc>
      </w:tr>
      <w:tr w:rsidR="00554FFC" w14:paraId="413E759C" w14:textId="77777777" w:rsidTr="009E380F">
        <w:tc>
          <w:tcPr>
            <w:tcW w:w="10421" w:type="dxa"/>
            <w:tcBorders>
              <w:bottom w:val="single" w:sz="4" w:space="0" w:color="auto"/>
            </w:tcBorders>
            <w:shd w:val="clear" w:color="auto" w:fill="auto"/>
          </w:tcPr>
          <w:p w14:paraId="55C60A3E" w14:textId="4C57A53A" w:rsidR="00554FFC" w:rsidRDefault="006704B2" w:rsidP="006704B2">
            <w:pPr>
              <w:pStyle w:val="ListParagraph"/>
              <w:numPr>
                <w:ilvl w:val="0"/>
                <w:numId w:val="31"/>
              </w:numPr>
              <w:spacing w:before="120" w:after="120"/>
            </w:pPr>
            <w:r>
              <w:t xml:space="preserve">Studies with a protocol including eccentric exercises or corticosteroid injection for the treatment of Achilles </w:t>
            </w:r>
            <w:proofErr w:type="spellStart"/>
            <w:r>
              <w:t>tendinopathy</w:t>
            </w:r>
            <w:proofErr w:type="spellEnd"/>
            <w:r>
              <w:t>.</w:t>
            </w:r>
          </w:p>
          <w:p w14:paraId="2E738C4C" w14:textId="311AF0C7" w:rsidR="006704B2" w:rsidRDefault="006704B2" w:rsidP="006704B2">
            <w:pPr>
              <w:pStyle w:val="ListParagraph"/>
              <w:numPr>
                <w:ilvl w:val="0"/>
                <w:numId w:val="31"/>
              </w:numPr>
              <w:spacing w:before="120" w:after="120"/>
            </w:pPr>
            <w:r>
              <w:t>Studies that used an outcome measure to assess pain.</w:t>
            </w:r>
          </w:p>
          <w:p w14:paraId="7193C0C8" w14:textId="411D9444" w:rsidR="006704B2" w:rsidRDefault="006704B2" w:rsidP="006704B2">
            <w:pPr>
              <w:pStyle w:val="ListParagraph"/>
              <w:numPr>
                <w:ilvl w:val="0"/>
                <w:numId w:val="31"/>
              </w:numPr>
              <w:spacing w:before="120" w:after="120"/>
            </w:pPr>
            <w:r>
              <w:t xml:space="preserve">Studied a population of adults with a diagnosis of </w:t>
            </w:r>
            <w:proofErr w:type="spellStart"/>
            <w:r>
              <w:t>midportion</w:t>
            </w:r>
            <w:proofErr w:type="spellEnd"/>
            <w:r>
              <w:t xml:space="preserve"> (non-</w:t>
            </w:r>
            <w:proofErr w:type="spellStart"/>
            <w:r>
              <w:t>insertional</w:t>
            </w:r>
            <w:proofErr w:type="spellEnd"/>
            <w:r>
              <w:t xml:space="preserve">) Achilles </w:t>
            </w:r>
            <w:proofErr w:type="spellStart"/>
            <w:r>
              <w:t>tendinopathy</w:t>
            </w:r>
            <w:proofErr w:type="spellEnd"/>
            <w:r w:rsidR="00275612">
              <w:t>.</w:t>
            </w:r>
            <w:r>
              <w:t xml:space="preserve"> </w:t>
            </w:r>
          </w:p>
          <w:p w14:paraId="00C5D9BA" w14:textId="4A434F83" w:rsidR="00554FFC" w:rsidRDefault="00DD2157" w:rsidP="00656A9D">
            <w:pPr>
              <w:pStyle w:val="ListParagraph"/>
              <w:numPr>
                <w:ilvl w:val="0"/>
                <w:numId w:val="31"/>
              </w:numPr>
              <w:spacing w:before="120" w:after="120"/>
            </w:pPr>
            <w:r>
              <w:t>Randomized controlled trials, c</w:t>
            </w:r>
            <w:r w:rsidR="001E67BB">
              <w:t xml:space="preserve">ase series or case reports </w:t>
            </w:r>
            <w:r w:rsidR="00656A9D">
              <w:t>relating to</w:t>
            </w:r>
            <w:r>
              <w:t xml:space="preserve"> corticosteroid</w:t>
            </w:r>
            <w:r w:rsidR="001E67BB">
              <w:t>s.</w:t>
            </w:r>
          </w:p>
        </w:tc>
      </w:tr>
      <w:tr w:rsidR="00554FFC" w:rsidRPr="002F16E1" w14:paraId="776203F7" w14:textId="77777777" w:rsidTr="009E380F">
        <w:tc>
          <w:tcPr>
            <w:tcW w:w="10421" w:type="dxa"/>
            <w:shd w:val="clear" w:color="auto" w:fill="E6E6E6"/>
          </w:tcPr>
          <w:p w14:paraId="1432AEA1" w14:textId="77777777" w:rsidR="00554FFC" w:rsidRPr="002F16E1" w:rsidRDefault="00554FFC" w:rsidP="009E380F">
            <w:pPr>
              <w:spacing w:before="120" w:after="120"/>
              <w:rPr>
                <w:b/>
              </w:rPr>
            </w:pPr>
            <w:r w:rsidRPr="002F16E1">
              <w:rPr>
                <w:b/>
              </w:rPr>
              <w:lastRenderedPageBreak/>
              <w:t>Exclusion Criteria</w:t>
            </w:r>
          </w:p>
        </w:tc>
      </w:tr>
      <w:tr w:rsidR="00554FFC" w14:paraId="0C74B3A3" w14:textId="77777777" w:rsidTr="009E380F">
        <w:tc>
          <w:tcPr>
            <w:tcW w:w="10421" w:type="dxa"/>
            <w:shd w:val="clear" w:color="auto" w:fill="auto"/>
          </w:tcPr>
          <w:p w14:paraId="063F24C1" w14:textId="3A417F59" w:rsidR="00554FFC" w:rsidRDefault="006704B2" w:rsidP="006704B2">
            <w:pPr>
              <w:pStyle w:val="ListParagraph"/>
              <w:numPr>
                <w:ilvl w:val="0"/>
                <w:numId w:val="32"/>
              </w:numPr>
              <w:spacing w:before="120" w:after="120"/>
            </w:pPr>
            <w:r>
              <w:t>Studies involving patients with a prior history of partial or complete rupture of the Achilles tendon</w:t>
            </w:r>
            <w:r w:rsidR="00275612">
              <w:t>.</w:t>
            </w:r>
          </w:p>
          <w:p w14:paraId="138D7DB2" w14:textId="291E2FDC" w:rsidR="006704B2" w:rsidRDefault="00275612" w:rsidP="006704B2">
            <w:pPr>
              <w:pStyle w:val="ListParagraph"/>
              <w:numPr>
                <w:ilvl w:val="0"/>
                <w:numId w:val="32"/>
              </w:numPr>
              <w:spacing w:before="120" w:after="120"/>
            </w:pPr>
            <w:r>
              <w:t>Studies with an</w:t>
            </w:r>
            <w:r w:rsidR="00DD2157">
              <w:t xml:space="preserve"> eccentric exercise</w:t>
            </w:r>
            <w:r>
              <w:t xml:space="preserve"> protocol</w:t>
            </w:r>
            <w:r w:rsidR="00DD2157">
              <w:t xml:space="preserve"> published prior to the year 2000 or after September 2014. </w:t>
            </w:r>
          </w:p>
          <w:p w14:paraId="769B6D76" w14:textId="3B774B31" w:rsidR="00DD2157" w:rsidRDefault="00275612" w:rsidP="006704B2">
            <w:pPr>
              <w:pStyle w:val="ListParagraph"/>
              <w:numPr>
                <w:ilvl w:val="0"/>
                <w:numId w:val="32"/>
              </w:numPr>
              <w:spacing w:before="120" w:after="120"/>
            </w:pPr>
            <w:r>
              <w:t xml:space="preserve">Any study other than a randomized controlled trial </w:t>
            </w:r>
            <w:r w:rsidR="001E67BB">
              <w:t>re</w:t>
            </w:r>
            <w:r w:rsidR="00656A9D">
              <w:t>lating to</w:t>
            </w:r>
            <w:r w:rsidR="001E67BB">
              <w:t xml:space="preserve"> eccentric exercise</w:t>
            </w:r>
            <w:r w:rsidR="00DD2157">
              <w:t xml:space="preserve">. </w:t>
            </w:r>
          </w:p>
          <w:p w14:paraId="36A8EBAB" w14:textId="77777777" w:rsidR="001A7326" w:rsidRDefault="001E67BB" w:rsidP="006704B2">
            <w:pPr>
              <w:pStyle w:val="ListParagraph"/>
              <w:numPr>
                <w:ilvl w:val="0"/>
                <w:numId w:val="32"/>
              </w:numPr>
              <w:spacing w:before="120" w:after="120"/>
            </w:pPr>
            <w:r>
              <w:t xml:space="preserve">Any study including patients with ankle or foot fracture, or soft tissue calcification. </w:t>
            </w:r>
          </w:p>
          <w:p w14:paraId="149753C0" w14:textId="4A0D77C1" w:rsidR="00554FFC" w:rsidRDefault="001A7326" w:rsidP="009E380F">
            <w:pPr>
              <w:pStyle w:val="ListParagraph"/>
              <w:numPr>
                <w:ilvl w:val="0"/>
                <w:numId w:val="32"/>
              </w:numPr>
              <w:spacing w:before="120" w:after="120"/>
            </w:pPr>
            <w:r>
              <w:t xml:space="preserve">Studies involving participants reporting prior history of surgery for treatment of Achilles </w:t>
            </w:r>
            <w:proofErr w:type="spellStart"/>
            <w:r>
              <w:t>tendinopathy</w:t>
            </w:r>
            <w:proofErr w:type="spellEnd"/>
            <w:r>
              <w:t xml:space="preserve">. </w:t>
            </w:r>
            <w:r w:rsidR="001E67BB">
              <w:t xml:space="preserve"> </w:t>
            </w:r>
          </w:p>
        </w:tc>
      </w:tr>
    </w:tbl>
    <w:p w14:paraId="741C213E" w14:textId="77777777" w:rsidR="00554FFC" w:rsidRDefault="00554FFC" w:rsidP="00554FFC">
      <w:pPr>
        <w:spacing w:before="120" w:after="120"/>
        <w:rPr>
          <w:b/>
          <w:sz w:val="18"/>
          <w:szCs w:val="18"/>
        </w:rPr>
      </w:pPr>
    </w:p>
    <w:p w14:paraId="76344E17"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2F16E1" w14:paraId="0FCC9FCF" w14:textId="77777777" w:rsidTr="0028187A">
        <w:trPr>
          <w:trHeight w:val="832"/>
        </w:trPr>
        <w:tc>
          <w:tcPr>
            <w:tcW w:w="1108" w:type="dxa"/>
            <w:shd w:val="clear" w:color="auto" w:fill="auto"/>
          </w:tcPr>
          <w:p w14:paraId="4FA4D140"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00FC58B3" w14:textId="54DC5CDE" w:rsidR="0028187A" w:rsidRPr="002F16E1" w:rsidRDefault="0028187A" w:rsidP="009E380F">
            <w:pPr>
              <w:spacing w:before="120" w:after="120"/>
              <w:rPr>
                <w:sz w:val="18"/>
                <w:szCs w:val="18"/>
              </w:rPr>
            </w:pPr>
          </w:p>
        </w:tc>
        <w:tc>
          <w:tcPr>
            <w:tcW w:w="8713" w:type="dxa"/>
            <w:shd w:val="clear" w:color="auto" w:fill="auto"/>
          </w:tcPr>
          <w:p w14:paraId="7934416C" w14:textId="77777777" w:rsidR="0028187A" w:rsidRDefault="003E4AF3" w:rsidP="003E4AF3">
            <w:pPr>
              <w:spacing w:before="120"/>
              <w:rPr>
                <w:sz w:val="18"/>
                <w:szCs w:val="18"/>
              </w:rPr>
            </w:pPr>
            <w:r>
              <w:rPr>
                <w:i/>
                <w:sz w:val="18"/>
                <w:szCs w:val="18"/>
              </w:rPr>
              <w:t>14</w:t>
            </w:r>
            <w:r w:rsidR="0028187A" w:rsidRPr="002F16E1">
              <w:rPr>
                <w:sz w:val="18"/>
                <w:szCs w:val="18"/>
              </w:rPr>
              <w:t xml:space="preserve"> relevant studies were located and categorised as shown in </w:t>
            </w:r>
            <w:r w:rsidR="0028187A">
              <w:rPr>
                <w:sz w:val="18"/>
                <w:szCs w:val="18"/>
              </w:rPr>
              <w:t>the following table</w:t>
            </w:r>
            <w:r w:rsidR="0028187A" w:rsidRPr="002F16E1">
              <w:rPr>
                <w:sz w:val="18"/>
                <w:szCs w:val="18"/>
              </w:rPr>
              <w:t xml:space="preserve"> (based on Levels of Evidence, Centre for Evidence Based Medicine, 2011)</w:t>
            </w:r>
            <w:r w:rsidR="0028187A">
              <w:rPr>
                <w:sz w:val="18"/>
                <w:szCs w:val="18"/>
              </w:rPr>
              <w:t xml:space="preserve"> </w:t>
            </w:r>
          </w:p>
          <w:p w14:paraId="66F75451" w14:textId="77777777" w:rsidR="003E4AF3" w:rsidRDefault="003E4AF3" w:rsidP="003E4AF3">
            <w:pPr>
              <w:pStyle w:val="ListParagraph"/>
              <w:numPr>
                <w:ilvl w:val="0"/>
                <w:numId w:val="33"/>
              </w:numPr>
              <w:spacing w:before="120"/>
              <w:rPr>
                <w:sz w:val="18"/>
                <w:szCs w:val="18"/>
              </w:rPr>
            </w:pPr>
            <w:proofErr w:type="spellStart"/>
            <w:r>
              <w:rPr>
                <w:sz w:val="18"/>
                <w:szCs w:val="18"/>
              </w:rPr>
              <w:t>PEDro</w:t>
            </w:r>
            <w:proofErr w:type="spellEnd"/>
            <w:r>
              <w:rPr>
                <w:sz w:val="18"/>
                <w:szCs w:val="18"/>
              </w:rPr>
              <w:t xml:space="preserve"> Scale: used to score all included articles with exception to the one systematic review, two case series and one retrospective study. Score from 0-10</w:t>
            </w:r>
            <w:proofErr w:type="gramStart"/>
            <w:r>
              <w:rPr>
                <w:sz w:val="18"/>
                <w:szCs w:val="18"/>
              </w:rPr>
              <w:t>;</w:t>
            </w:r>
            <w:proofErr w:type="gramEnd"/>
            <w:r>
              <w:rPr>
                <w:sz w:val="18"/>
                <w:szCs w:val="18"/>
              </w:rPr>
              <w:t xml:space="preserve"> 10 indicating highest quality. “Eligibility score” does not contribute to the total score.</w:t>
            </w:r>
          </w:p>
          <w:p w14:paraId="46C295CE" w14:textId="77777777" w:rsidR="003E4AF3" w:rsidRDefault="003E4AF3" w:rsidP="003E4AF3">
            <w:pPr>
              <w:pStyle w:val="ListParagraph"/>
              <w:numPr>
                <w:ilvl w:val="0"/>
                <w:numId w:val="33"/>
              </w:numPr>
              <w:spacing w:before="120"/>
              <w:rPr>
                <w:sz w:val="18"/>
                <w:szCs w:val="18"/>
              </w:rPr>
            </w:pPr>
            <w:r>
              <w:rPr>
                <w:sz w:val="18"/>
                <w:szCs w:val="18"/>
              </w:rPr>
              <w:t>R-AMSTAR checklist: used to score systematic review. Score from 0-44</w:t>
            </w:r>
            <w:proofErr w:type="gramStart"/>
            <w:r>
              <w:rPr>
                <w:sz w:val="18"/>
                <w:szCs w:val="18"/>
              </w:rPr>
              <w:t>;</w:t>
            </w:r>
            <w:proofErr w:type="gramEnd"/>
            <w:r>
              <w:rPr>
                <w:sz w:val="18"/>
                <w:szCs w:val="18"/>
              </w:rPr>
              <w:t xml:space="preserve"> 44 indicating highest quality.</w:t>
            </w:r>
          </w:p>
          <w:p w14:paraId="6BE37356" w14:textId="7E031DD1" w:rsidR="003E4AF3" w:rsidRPr="003E4AF3" w:rsidRDefault="003E4AF3" w:rsidP="003E4AF3">
            <w:pPr>
              <w:pStyle w:val="ListParagraph"/>
              <w:numPr>
                <w:ilvl w:val="0"/>
                <w:numId w:val="33"/>
              </w:numPr>
              <w:spacing w:before="120"/>
              <w:rPr>
                <w:sz w:val="18"/>
                <w:szCs w:val="18"/>
              </w:rPr>
            </w:pPr>
            <w:r>
              <w:rPr>
                <w:sz w:val="18"/>
                <w:szCs w:val="18"/>
              </w:rPr>
              <w:t xml:space="preserve">The two case series and one retrospective study </w:t>
            </w:r>
            <w:r w:rsidR="000F24E9">
              <w:rPr>
                <w:sz w:val="18"/>
                <w:szCs w:val="18"/>
              </w:rPr>
              <w:t>were</w:t>
            </w:r>
            <w:r>
              <w:rPr>
                <w:sz w:val="18"/>
                <w:szCs w:val="18"/>
              </w:rPr>
              <w:t xml:space="preserve"> rated subjectively for quality. Good, fair, and poor were the possible scores.</w:t>
            </w:r>
          </w:p>
        </w:tc>
      </w:tr>
    </w:tbl>
    <w:p w14:paraId="131959DD" w14:textId="26FB4A13" w:rsidR="00554FFC" w:rsidRPr="00656A9D" w:rsidRDefault="00554FFC" w:rsidP="00554FFC">
      <w:pPr>
        <w:spacing w:before="120" w:after="120"/>
        <w:rPr>
          <w:b/>
          <w:sz w:val="18"/>
          <w:szCs w:val="18"/>
        </w:rPr>
      </w:pPr>
      <w:r>
        <w:rPr>
          <w:b/>
          <w:sz w:val="18"/>
          <w:szCs w:val="18"/>
        </w:rPr>
        <w:t>Summary of articles retrieved that met inclusion and exclusion criteria</w:t>
      </w:r>
      <w:r w:rsidRPr="00554FFC">
        <w:rPr>
          <w:i/>
          <w:color w:val="365F9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2C31C3C5" w14:textId="77777777" w:rsidTr="009306BB">
        <w:tc>
          <w:tcPr>
            <w:tcW w:w="3987" w:type="dxa"/>
            <w:tcBorders>
              <w:right w:val="single" w:sz="8" w:space="0" w:color="auto"/>
            </w:tcBorders>
            <w:shd w:val="clear" w:color="auto" w:fill="E6E6E6"/>
          </w:tcPr>
          <w:p w14:paraId="4E994016"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683C6CCC"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7126C205"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76EE39F1" w14:textId="77777777" w:rsidR="00554FFC" w:rsidRPr="002F16E1" w:rsidRDefault="00554FFC" w:rsidP="009E380F">
            <w:pPr>
              <w:spacing w:before="120" w:after="120"/>
              <w:jc w:val="center"/>
              <w:rPr>
                <w:b/>
                <w:sz w:val="18"/>
                <w:szCs w:val="18"/>
              </w:rPr>
            </w:pPr>
            <w:r>
              <w:rPr>
                <w:b/>
                <w:sz w:val="18"/>
                <w:szCs w:val="18"/>
              </w:rPr>
              <w:t>Study design</w:t>
            </w:r>
          </w:p>
        </w:tc>
      </w:tr>
      <w:tr w:rsidR="009306BB" w:rsidRPr="002F16E1" w14:paraId="152C5FC4" w14:textId="77777777" w:rsidTr="009306BB">
        <w:tc>
          <w:tcPr>
            <w:tcW w:w="3987" w:type="dxa"/>
            <w:tcBorders>
              <w:right w:val="single" w:sz="8" w:space="0" w:color="auto"/>
            </w:tcBorders>
            <w:shd w:val="clear" w:color="auto" w:fill="auto"/>
          </w:tcPr>
          <w:p w14:paraId="0C3021BB" w14:textId="00EDD1C7" w:rsidR="009306BB" w:rsidRPr="002F16E1" w:rsidRDefault="009306BB" w:rsidP="009E380F">
            <w:pPr>
              <w:spacing w:before="120" w:after="120"/>
              <w:rPr>
                <w:b/>
                <w:sz w:val="18"/>
                <w:szCs w:val="18"/>
              </w:rPr>
            </w:pPr>
            <w:proofErr w:type="spellStart"/>
            <w:r w:rsidRPr="00AF44A4">
              <w:rPr>
                <w:b/>
                <w:sz w:val="18"/>
                <w:szCs w:val="18"/>
                <w:highlight w:val="yellow"/>
              </w:rPr>
              <w:t>Rompe</w:t>
            </w:r>
            <w:proofErr w:type="spellEnd"/>
            <w:r w:rsidRPr="00AF44A4">
              <w:rPr>
                <w:b/>
                <w:sz w:val="18"/>
                <w:szCs w:val="18"/>
                <w:highlight w:val="yellow"/>
              </w:rPr>
              <w:t xml:space="preserve"> JD (2007) – Eccentric</w:t>
            </w:r>
          </w:p>
        </w:tc>
        <w:tc>
          <w:tcPr>
            <w:tcW w:w="1733" w:type="dxa"/>
            <w:tcBorders>
              <w:left w:val="single" w:sz="8" w:space="0" w:color="auto"/>
            </w:tcBorders>
            <w:shd w:val="clear" w:color="auto" w:fill="auto"/>
          </w:tcPr>
          <w:p w14:paraId="2D8AA926" w14:textId="3E9564FB" w:rsidR="009306BB" w:rsidRPr="002F16E1" w:rsidRDefault="009306BB" w:rsidP="009E380F">
            <w:pPr>
              <w:spacing w:before="120" w:after="120"/>
              <w:rPr>
                <w:b/>
                <w:sz w:val="18"/>
                <w:szCs w:val="18"/>
              </w:rPr>
            </w:pPr>
            <w:r w:rsidRPr="00AF44A4">
              <w:rPr>
                <w:b/>
                <w:sz w:val="18"/>
                <w:szCs w:val="18"/>
                <w:highlight w:val="yellow"/>
              </w:rPr>
              <w:t>7/10</w:t>
            </w:r>
          </w:p>
        </w:tc>
        <w:tc>
          <w:tcPr>
            <w:tcW w:w="2042" w:type="dxa"/>
            <w:shd w:val="clear" w:color="auto" w:fill="auto"/>
          </w:tcPr>
          <w:p w14:paraId="3B87E2B5" w14:textId="044FD90A" w:rsidR="009306BB" w:rsidRPr="002F16E1" w:rsidRDefault="009306BB" w:rsidP="009E380F">
            <w:pPr>
              <w:spacing w:before="120" w:after="120"/>
              <w:rPr>
                <w:b/>
                <w:sz w:val="18"/>
                <w:szCs w:val="18"/>
              </w:rPr>
            </w:pPr>
            <w:r w:rsidRPr="00AF44A4">
              <w:rPr>
                <w:b/>
                <w:sz w:val="18"/>
                <w:szCs w:val="18"/>
                <w:highlight w:val="yellow"/>
              </w:rPr>
              <w:t>2b</w:t>
            </w:r>
          </w:p>
        </w:tc>
        <w:tc>
          <w:tcPr>
            <w:tcW w:w="2659" w:type="dxa"/>
            <w:shd w:val="clear" w:color="auto" w:fill="auto"/>
          </w:tcPr>
          <w:p w14:paraId="671113AA" w14:textId="06460A23" w:rsidR="009306BB" w:rsidRPr="002F16E1" w:rsidRDefault="009306BB" w:rsidP="009E380F">
            <w:pPr>
              <w:spacing w:before="120" w:after="120"/>
              <w:rPr>
                <w:b/>
                <w:sz w:val="18"/>
                <w:szCs w:val="18"/>
              </w:rPr>
            </w:pPr>
            <w:r w:rsidRPr="00AF44A4">
              <w:rPr>
                <w:b/>
                <w:sz w:val="18"/>
                <w:szCs w:val="18"/>
                <w:highlight w:val="yellow"/>
              </w:rPr>
              <w:t>RCT</w:t>
            </w:r>
          </w:p>
        </w:tc>
      </w:tr>
      <w:tr w:rsidR="009306BB" w:rsidRPr="002F16E1" w14:paraId="6576323E" w14:textId="77777777" w:rsidTr="009306BB">
        <w:tc>
          <w:tcPr>
            <w:tcW w:w="3987" w:type="dxa"/>
            <w:tcBorders>
              <w:right w:val="single" w:sz="8" w:space="0" w:color="auto"/>
            </w:tcBorders>
            <w:shd w:val="clear" w:color="auto" w:fill="auto"/>
          </w:tcPr>
          <w:p w14:paraId="6262911B" w14:textId="2D157ABF" w:rsidR="009306BB" w:rsidRPr="002F16E1" w:rsidRDefault="009306BB" w:rsidP="009E380F">
            <w:pPr>
              <w:spacing w:before="120" w:after="120"/>
              <w:rPr>
                <w:b/>
                <w:sz w:val="18"/>
                <w:szCs w:val="18"/>
              </w:rPr>
            </w:pPr>
            <w:proofErr w:type="spellStart"/>
            <w:r w:rsidRPr="00AF44A4">
              <w:rPr>
                <w:b/>
                <w:sz w:val="18"/>
                <w:szCs w:val="18"/>
                <w:highlight w:val="yellow"/>
              </w:rPr>
              <w:t>Roos</w:t>
            </w:r>
            <w:proofErr w:type="spellEnd"/>
            <w:r w:rsidRPr="00AF44A4">
              <w:rPr>
                <w:b/>
                <w:sz w:val="18"/>
                <w:szCs w:val="18"/>
                <w:highlight w:val="yellow"/>
              </w:rPr>
              <w:t xml:space="preserve"> EM (2004) – Eccentric</w:t>
            </w:r>
          </w:p>
        </w:tc>
        <w:tc>
          <w:tcPr>
            <w:tcW w:w="1733" w:type="dxa"/>
            <w:tcBorders>
              <w:left w:val="single" w:sz="8" w:space="0" w:color="auto"/>
            </w:tcBorders>
            <w:shd w:val="clear" w:color="auto" w:fill="auto"/>
          </w:tcPr>
          <w:p w14:paraId="7A65ADC5" w14:textId="02A2EA24" w:rsidR="009306BB" w:rsidRPr="002F16E1" w:rsidRDefault="00930598" w:rsidP="009E380F">
            <w:pPr>
              <w:spacing w:before="120" w:after="120"/>
              <w:rPr>
                <w:b/>
                <w:sz w:val="18"/>
                <w:szCs w:val="18"/>
              </w:rPr>
            </w:pPr>
            <w:r>
              <w:rPr>
                <w:b/>
                <w:sz w:val="18"/>
                <w:szCs w:val="18"/>
                <w:highlight w:val="yellow"/>
              </w:rPr>
              <w:t>6</w:t>
            </w:r>
            <w:r w:rsidR="009306BB" w:rsidRPr="00AF44A4">
              <w:rPr>
                <w:b/>
                <w:sz w:val="18"/>
                <w:szCs w:val="18"/>
                <w:highlight w:val="yellow"/>
              </w:rPr>
              <w:t>/10</w:t>
            </w:r>
          </w:p>
        </w:tc>
        <w:tc>
          <w:tcPr>
            <w:tcW w:w="2042" w:type="dxa"/>
            <w:shd w:val="clear" w:color="auto" w:fill="auto"/>
          </w:tcPr>
          <w:p w14:paraId="29C84D2A" w14:textId="669E322A" w:rsidR="009306BB" w:rsidRPr="002F16E1" w:rsidRDefault="009306BB" w:rsidP="009E380F">
            <w:pPr>
              <w:spacing w:before="120" w:after="120"/>
              <w:rPr>
                <w:b/>
                <w:sz w:val="18"/>
                <w:szCs w:val="18"/>
              </w:rPr>
            </w:pPr>
            <w:r w:rsidRPr="00AF44A4">
              <w:rPr>
                <w:b/>
                <w:sz w:val="18"/>
                <w:szCs w:val="18"/>
                <w:highlight w:val="yellow"/>
              </w:rPr>
              <w:t>2b</w:t>
            </w:r>
          </w:p>
        </w:tc>
        <w:tc>
          <w:tcPr>
            <w:tcW w:w="2659" w:type="dxa"/>
            <w:shd w:val="clear" w:color="auto" w:fill="auto"/>
          </w:tcPr>
          <w:p w14:paraId="0444FBA2" w14:textId="5DF7674C" w:rsidR="009306BB" w:rsidRPr="002F16E1" w:rsidRDefault="009306BB" w:rsidP="009E380F">
            <w:pPr>
              <w:spacing w:before="120" w:after="120"/>
              <w:rPr>
                <w:b/>
                <w:sz w:val="18"/>
                <w:szCs w:val="18"/>
              </w:rPr>
            </w:pPr>
            <w:r w:rsidRPr="00AF44A4">
              <w:rPr>
                <w:b/>
                <w:sz w:val="18"/>
                <w:szCs w:val="18"/>
                <w:highlight w:val="yellow"/>
              </w:rPr>
              <w:t>RCT</w:t>
            </w:r>
          </w:p>
        </w:tc>
      </w:tr>
      <w:tr w:rsidR="004155E5" w:rsidRPr="002F16E1" w14:paraId="282D79EF" w14:textId="77777777" w:rsidTr="009306BB">
        <w:tc>
          <w:tcPr>
            <w:tcW w:w="3987" w:type="dxa"/>
            <w:tcBorders>
              <w:right w:val="single" w:sz="8" w:space="0" w:color="auto"/>
            </w:tcBorders>
            <w:shd w:val="clear" w:color="auto" w:fill="auto"/>
          </w:tcPr>
          <w:p w14:paraId="02725DCD" w14:textId="6DF9A370" w:rsidR="004155E5" w:rsidRPr="002F16E1" w:rsidRDefault="004155E5" w:rsidP="009E380F">
            <w:pPr>
              <w:spacing w:before="120" w:after="120"/>
              <w:rPr>
                <w:b/>
                <w:sz w:val="18"/>
                <w:szCs w:val="18"/>
              </w:rPr>
            </w:pPr>
            <w:proofErr w:type="spellStart"/>
            <w:r w:rsidRPr="00AF44A4">
              <w:rPr>
                <w:b/>
                <w:sz w:val="18"/>
                <w:szCs w:val="18"/>
                <w:highlight w:val="yellow"/>
              </w:rPr>
              <w:t>DaCruz</w:t>
            </w:r>
            <w:proofErr w:type="spellEnd"/>
            <w:r w:rsidRPr="00AF44A4">
              <w:rPr>
                <w:b/>
                <w:sz w:val="18"/>
                <w:szCs w:val="18"/>
                <w:highlight w:val="yellow"/>
              </w:rPr>
              <w:t xml:space="preserve"> DJ (1988) – Steroid </w:t>
            </w:r>
          </w:p>
        </w:tc>
        <w:tc>
          <w:tcPr>
            <w:tcW w:w="1733" w:type="dxa"/>
            <w:tcBorders>
              <w:left w:val="single" w:sz="8" w:space="0" w:color="auto"/>
            </w:tcBorders>
            <w:shd w:val="clear" w:color="auto" w:fill="auto"/>
          </w:tcPr>
          <w:p w14:paraId="78853CD0" w14:textId="20D4987A" w:rsidR="004155E5" w:rsidRPr="002F16E1" w:rsidRDefault="007F1E7B" w:rsidP="009E380F">
            <w:pPr>
              <w:spacing w:before="120" w:after="120"/>
              <w:rPr>
                <w:b/>
                <w:sz w:val="18"/>
                <w:szCs w:val="18"/>
              </w:rPr>
            </w:pPr>
            <w:r>
              <w:rPr>
                <w:b/>
                <w:sz w:val="18"/>
                <w:szCs w:val="18"/>
                <w:highlight w:val="yellow"/>
              </w:rPr>
              <w:t>7</w:t>
            </w:r>
            <w:r w:rsidR="004155E5" w:rsidRPr="00AF44A4">
              <w:rPr>
                <w:b/>
                <w:sz w:val="18"/>
                <w:szCs w:val="18"/>
                <w:highlight w:val="yellow"/>
              </w:rPr>
              <w:t>/10</w:t>
            </w:r>
          </w:p>
        </w:tc>
        <w:tc>
          <w:tcPr>
            <w:tcW w:w="2042" w:type="dxa"/>
            <w:shd w:val="clear" w:color="auto" w:fill="auto"/>
          </w:tcPr>
          <w:p w14:paraId="2A7AF260" w14:textId="209EC6E4" w:rsidR="004155E5" w:rsidRPr="002F16E1" w:rsidRDefault="004155E5" w:rsidP="009E380F">
            <w:pPr>
              <w:spacing w:before="120" w:after="120"/>
              <w:rPr>
                <w:b/>
                <w:sz w:val="18"/>
                <w:szCs w:val="18"/>
              </w:rPr>
            </w:pPr>
            <w:r w:rsidRPr="00AF44A4">
              <w:rPr>
                <w:b/>
                <w:sz w:val="18"/>
                <w:szCs w:val="18"/>
                <w:highlight w:val="yellow"/>
              </w:rPr>
              <w:t>2b</w:t>
            </w:r>
          </w:p>
        </w:tc>
        <w:tc>
          <w:tcPr>
            <w:tcW w:w="2659" w:type="dxa"/>
            <w:shd w:val="clear" w:color="auto" w:fill="auto"/>
          </w:tcPr>
          <w:p w14:paraId="49B10C30" w14:textId="0640EC01" w:rsidR="004155E5" w:rsidRPr="002F16E1" w:rsidRDefault="004155E5" w:rsidP="009E380F">
            <w:pPr>
              <w:spacing w:before="120" w:after="120"/>
              <w:rPr>
                <w:b/>
                <w:sz w:val="18"/>
                <w:szCs w:val="18"/>
              </w:rPr>
            </w:pPr>
            <w:r w:rsidRPr="00AF44A4">
              <w:rPr>
                <w:b/>
                <w:sz w:val="18"/>
                <w:szCs w:val="18"/>
                <w:highlight w:val="yellow"/>
              </w:rPr>
              <w:t>RCT</w:t>
            </w:r>
          </w:p>
        </w:tc>
      </w:tr>
      <w:tr w:rsidR="004155E5" w:rsidRPr="002F16E1" w14:paraId="68829D38" w14:textId="77777777" w:rsidTr="009306BB">
        <w:tc>
          <w:tcPr>
            <w:tcW w:w="3987" w:type="dxa"/>
            <w:tcBorders>
              <w:right w:val="single" w:sz="8" w:space="0" w:color="auto"/>
            </w:tcBorders>
            <w:shd w:val="clear" w:color="auto" w:fill="auto"/>
          </w:tcPr>
          <w:p w14:paraId="73ABA043" w14:textId="4A492E58" w:rsidR="004155E5" w:rsidRPr="002F16E1" w:rsidRDefault="004155E5" w:rsidP="009E380F">
            <w:pPr>
              <w:spacing w:before="120" w:after="120"/>
              <w:rPr>
                <w:b/>
                <w:sz w:val="18"/>
                <w:szCs w:val="18"/>
              </w:rPr>
            </w:pPr>
            <w:r>
              <w:rPr>
                <w:b/>
                <w:sz w:val="18"/>
                <w:szCs w:val="18"/>
              </w:rPr>
              <w:t xml:space="preserve">Chan O (2008) – Steroid </w:t>
            </w:r>
          </w:p>
        </w:tc>
        <w:tc>
          <w:tcPr>
            <w:tcW w:w="1733" w:type="dxa"/>
            <w:tcBorders>
              <w:left w:val="single" w:sz="8" w:space="0" w:color="auto"/>
            </w:tcBorders>
            <w:shd w:val="clear" w:color="auto" w:fill="auto"/>
          </w:tcPr>
          <w:p w14:paraId="1A300D66" w14:textId="5E3C4D3D" w:rsidR="004155E5" w:rsidRPr="002F16E1" w:rsidRDefault="004155E5" w:rsidP="009E380F">
            <w:pPr>
              <w:spacing w:before="120" w:after="120"/>
              <w:rPr>
                <w:b/>
                <w:sz w:val="18"/>
                <w:szCs w:val="18"/>
              </w:rPr>
            </w:pPr>
            <w:r>
              <w:rPr>
                <w:b/>
                <w:sz w:val="18"/>
                <w:szCs w:val="18"/>
              </w:rPr>
              <w:t>Poor</w:t>
            </w:r>
          </w:p>
        </w:tc>
        <w:tc>
          <w:tcPr>
            <w:tcW w:w="2042" w:type="dxa"/>
            <w:shd w:val="clear" w:color="auto" w:fill="auto"/>
          </w:tcPr>
          <w:p w14:paraId="407EBAA0" w14:textId="7DE3940C" w:rsidR="004155E5" w:rsidRPr="002F16E1" w:rsidRDefault="004155E5" w:rsidP="009E380F">
            <w:pPr>
              <w:spacing w:before="120" w:after="120"/>
              <w:rPr>
                <w:b/>
                <w:sz w:val="18"/>
                <w:szCs w:val="18"/>
              </w:rPr>
            </w:pPr>
            <w:r>
              <w:rPr>
                <w:b/>
                <w:sz w:val="18"/>
                <w:szCs w:val="18"/>
              </w:rPr>
              <w:t>4</w:t>
            </w:r>
          </w:p>
        </w:tc>
        <w:tc>
          <w:tcPr>
            <w:tcW w:w="2659" w:type="dxa"/>
            <w:shd w:val="clear" w:color="auto" w:fill="auto"/>
          </w:tcPr>
          <w:p w14:paraId="58CA6B48" w14:textId="1EB3968F" w:rsidR="004155E5" w:rsidRPr="002F16E1" w:rsidRDefault="004155E5" w:rsidP="009E380F">
            <w:pPr>
              <w:spacing w:before="120" w:after="120"/>
              <w:rPr>
                <w:b/>
                <w:sz w:val="18"/>
                <w:szCs w:val="18"/>
              </w:rPr>
            </w:pPr>
            <w:r>
              <w:rPr>
                <w:b/>
                <w:sz w:val="18"/>
                <w:szCs w:val="18"/>
              </w:rPr>
              <w:t>Case Series</w:t>
            </w:r>
          </w:p>
        </w:tc>
      </w:tr>
      <w:tr w:rsidR="004155E5" w:rsidRPr="002F16E1" w14:paraId="28CA623A" w14:textId="77777777" w:rsidTr="009306BB">
        <w:tc>
          <w:tcPr>
            <w:tcW w:w="3987" w:type="dxa"/>
            <w:tcBorders>
              <w:right w:val="single" w:sz="8" w:space="0" w:color="auto"/>
            </w:tcBorders>
            <w:shd w:val="clear" w:color="auto" w:fill="auto"/>
          </w:tcPr>
          <w:p w14:paraId="75D6550B" w14:textId="6AA3ABB6" w:rsidR="004155E5" w:rsidRPr="002F16E1" w:rsidRDefault="004155E5" w:rsidP="009E380F">
            <w:pPr>
              <w:spacing w:before="120" w:after="120"/>
              <w:rPr>
                <w:b/>
                <w:sz w:val="18"/>
                <w:szCs w:val="18"/>
              </w:rPr>
            </w:pPr>
            <w:proofErr w:type="spellStart"/>
            <w:r>
              <w:rPr>
                <w:b/>
                <w:sz w:val="18"/>
                <w:szCs w:val="18"/>
              </w:rPr>
              <w:t>Mafi</w:t>
            </w:r>
            <w:proofErr w:type="spellEnd"/>
            <w:r>
              <w:rPr>
                <w:b/>
                <w:sz w:val="18"/>
                <w:szCs w:val="18"/>
              </w:rPr>
              <w:t xml:space="preserve"> N (2001) – Eccentric</w:t>
            </w:r>
          </w:p>
        </w:tc>
        <w:tc>
          <w:tcPr>
            <w:tcW w:w="1733" w:type="dxa"/>
            <w:tcBorders>
              <w:left w:val="single" w:sz="8" w:space="0" w:color="auto"/>
            </w:tcBorders>
            <w:shd w:val="clear" w:color="auto" w:fill="auto"/>
          </w:tcPr>
          <w:p w14:paraId="3A896FD2" w14:textId="23FF5510" w:rsidR="004155E5" w:rsidRPr="002F16E1" w:rsidRDefault="004155E5" w:rsidP="009E380F">
            <w:pPr>
              <w:spacing w:before="120" w:after="120"/>
              <w:rPr>
                <w:b/>
                <w:sz w:val="18"/>
                <w:szCs w:val="18"/>
              </w:rPr>
            </w:pPr>
            <w:r>
              <w:rPr>
                <w:b/>
                <w:sz w:val="18"/>
                <w:szCs w:val="18"/>
              </w:rPr>
              <w:t>5/10</w:t>
            </w:r>
          </w:p>
        </w:tc>
        <w:tc>
          <w:tcPr>
            <w:tcW w:w="2042" w:type="dxa"/>
            <w:shd w:val="clear" w:color="auto" w:fill="auto"/>
          </w:tcPr>
          <w:p w14:paraId="4593A9A0" w14:textId="156F0887"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4CDF2CE6" w14:textId="5FA6E1FB" w:rsidR="004155E5" w:rsidRPr="002F16E1" w:rsidRDefault="004155E5" w:rsidP="009E380F">
            <w:pPr>
              <w:spacing w:before="120" w:after="120"/>
              <w:rPr>
                <w:b/>
                <w:sz w:val="18"/>
                <w:szCs w:val="18"/>
              </w:rPr>
            </w:pPr>
            <w:r>
              <w:rPr>
                <w:b/>
                <w:sz w:val="18"/>
                <w:szCs w:val="18"/>
              </w:rPr>
              <w:t>RCT</w:t>
            </w:r>
          </w:p>
        </w:tc>
      </w:tr>
      <w:tr w:rsidR="004155E5" w:rsidRPr="002F16E1" w14:paraId="7E74D963" w14:textId="77777777" w:rsidTr="009306BB">
        <w:tc>
          <w:tcPr>
            <w:tcW w:w="3987" w:type="dxa"/>
            <w:tcBorders>
              <w:right w:val="single" w:sz="8" w:space="0" w:color="auto"/>
            </w:tcBorders>
            <w:shd w:val="clear" w:color="auto" w:fill="auto"/>
          </w:tcPr>
          <w:p w14:paraId="77270968" w14:textId="20384A34" w:rsidR="004155E5" w:rsidRPr="002F16E1" w:rsidRDefault="004155E5" w:rsidP="009E380F">
            <w:pPr>
              <w:spacing w:before="120" w:after="120"/>
              <w:rPr>
                <w:b/>
                <w:sz w:val="18"/>
                <w:szCs w:val="18"/>
              </w:rPr>
            </w:pPr>
            <w:r>
              <w:rPr>
                <w:b/>
                <w:sz w:val="18"/>
                <w:szCs w:val="18"/>
              </w:rPr>
              <w:t xml:space="preserve">Peterson W (2007) – Eccentric </w:t>
            </w:r>
          </w:p>
        </w:tc>
        <w:tc>
          <w:tcPr>
            <w:tcW w:w="1733" w:type="dxa"/>
            <w:tcBorders>
              <w:left w:val="single" w:sz="8" w:space="0" w:color="auto"/>
            </w:tcBorders>
            <w:shd w:val="clear" w:color="auto" w:fill="auto"/>
          </w:tcPr>
          <w:p w14:paraId="2FA0DFC8" w14:textId="2A837593" w:rsidR="004155E5" w:rsidRPr="002F16E1" w:rsidRDefault="004155E5" w:rsidP="009E380F">
            <w:pPr>
              <w:spacing w:before="120" w:after="120"/>
              <w:rPr>
                <w:b/>
                <w:sz w:val="18"/>
                <w:szCs w:val="18"/>
              </w:rPr>
            </w:pPr>
            <w:r>
              <w:rPr>
                <w:b/>
                <w:sz w:val="18"/>
                <w:szCs w:val="18"/>
              </w:rPr>
              <w:t>6/10</w:t>
            </w:r>
          </w:p>
        </w:tc>
        <w:tc>
          <w:tcPr>
            <w:tcW w:w="2042" w:type="dxa"/>
            <w:shd w:val="clear" w:color="auto" w:fill="auto"/>
          </w:tcPr>
          <w:p w14:paraId="49B5BF04" w14:textId="10424339"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5C6DE19B" w14:textId="5919ABBC" w:rsidR="004155E5" w:rsidRPr="002F16E1" w:rsidRDefault="004155E5" w:rsidP="009E380F">
            <w:pPr>
              <w:spacing w:before="120" w:after="120"/>
              <w:rPr>
                <w:b/>
                <w:sz w:val="18"/>
                <w:szCs w:val="18"/>
              </w:rPr>
            </w:pPr>
            <w:r>
              <w:rPr>
                <w:b/>
                <w:sz w:val="18"/>
                <w:szCs w:val="18"/>
              </w:rPr>
              <w:t>RCT</w:t>
            </w:r>
          </w:p>
        </w:tc>
      </w:tr>
      <w:tr w:rsidR="004155E5" w:rsidRPr="002F16E1" w14:paraId="22DE3CE5" w14:textId="77777777" w:rsidTr="009306BB">
        <w:tc>
          <w:tcPr>
            <w:tcW w:w="3987" w:type="dxa"/>
            <w:tcBorders>
              <w:right w:val="single" w:sz="8" w:space="0" w:color="auto"/>
            </w:tcBorders>
            <w:shd w:val="clear" w:color="auto" w:fill="auto"/>
          </w:tcPr>
          <w:p w14:paraId="63C4A240" w14:textId="48DE36D2" w:rsidR="004155E5" w:rsidRPr="002F16E1" w:rsidRDefault="004155E5" w:rsidP="009E380F">
            <w:pPr>
              <w:spacing w:before="120" w:after="120"/>
              <w:rPr>
                <w:b/>
                <w:sz w:val="18"/>
                <w:szCs w:val="18"/>
              </w:rPr>
            </w:pPr>
            <w:proofErr w:type="spellStart"/>
            <w:r>
              <w:rPr>
                <w:b/>
                <w:sz w:val="18"/>
                <w:szCs w:val="18"/>
              </w:rPr>
              <w:t>Rompe</w:t>
            </w:r>
            <w:proofErr w:type="spellEnd"/>
            <w:r>
              <w:rPr>
                <w:b/>
                <w:sz w:val="18"/>
                <w:szCs w:val="18"/>
              </w:rPr>
              <w:t xml:space="preserve"> JD (2009) – Eccentric</w:t>
            </w:r>
          </w:p>
        </w:tc>
        <w:tc>
          <w:tcPr>
            <w:tcW w:w="1733" w:type="dxa"/>
            <w:tcBorders>
              <w:left w:val="single" w:sz="8" w:space="0" w:color="auto"/>
            </w:tcBorders>
            <w:shd w:val="clear" w:color="auto" w:fill="auto"/>
          </w:tcPr>
          <w:p w14:paraId="099151B0" w14:textId="0FE9E2DE" w:rsidR="004155E5" w:rsidRPr="002F16E1" w:rsidRDefault="004155E5" w:rsidP="009E380F">
            <w:pPr>
              <w:spacing w:before="120" w:after="120"/>
              <w:rPr>
                <w:b/>
                <w:sz w:val="18"/>
                <w:szCs w:val="18"/>
              </w:rPr>
            </w:pPr>
            <w:r>
              <w:rPr>
                <w:b/>
                <w:sz w:val="18"/>
                <w:szCs w:val="18"/>
              </w:rPr>
              <w:t>7/10</w:t>
            </w:r>
          </w:p>
        </w:tc>
        <w:tc>
          <w:tcPr>
            <w:tcW w:w="2042" w:type="dxa"/>
            <w:shd w:val="clear" w:color="auto" w:fill="auto"/>
          </w:tcPr>
          <w:p w14:paraId="26F777A6" w14:textId="1AB12A8E"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7EB5E34F" w14:textId="19BA3D24" w:rsidR="004155E5" w:rsidRPr="002F16E1" w:rsidRDefault="004155E5" w:rsidP="009E380F">
            <w:pPr>
              <w:spacing w:before="120" w:after="120"/>
              <w:rPr>
                <w:b/>
                <w:sz w:val="18"/>
                <w:szCs w:val="18"/>
              </w:rPr>
            </w:pPr>
            <w:r>
              <w:rPr>
                <w:b/>
                <w:sz w:val="18"/>
                <w:szCs w:val="18"/>
              </w:rPr>
              <w:t>RCT</w:t>
            </w:r>
          </w:p>
        </w:tc>
      </w:tr>
      <w:tr w:rsidR="004155E5" w:rsidRPr="002F16E1" w14:paraId="4DB46419" w14:textId="77777777" w:rsidTr="009306BB">
        <w:tc>
          <w:tcPr>
            <w:tcW w:w="3987" w:type="dxa"/>
            <w:tcBorders>
              <w:right w:val="single" w:sz="8" w:space="0" w:color="auto"/>
            </w:tcBorders>
            <w:shd w:val="clear" w:color="auto" w:fill="auto"/>
          </w:tcPr>
          <w:p w14:paraId="42D2E5F2" w14:textId="18C8405C" w:rsidR="004155E5" w:rsidRPr="002F16E1" w:rsidRDefault="004155E5" w:rsidP="009E380F">
            <w:pPr>
              <w:spacing w:before="120" w:after="120"/>
              <w:rPr>
                <w:b/>
                <w:sz w:val="18"/>
                <w:szCs w:val="18"/>
              </w:rPr>
            </w:pPr>
            <w:r>
              <w:rPr>
                <w:b/>
                <w:sz w:val="18"/>
                <w:szCs w:val="18"/>
              </w:rPr>
              <w:t xml:space="preserve">Yu JH (2013) – Eccentric </w:t>
            </w:r>
          </w:p>
        </w:tc>
        <w:tc>
          <w:tcPr>
            <w:tcW w:w="1733" w:type="dxa"/>
            <w:tcBorders>
              <w:left w:val="single" w:sz="8" w:space="0" w:color="auto"/>
            </w:tcBorders>
            <w:shd w:val="clear" w:color="auto" w:fill="auto"/>
          </w:tcPr>
          <w:p w14:paraId="2FCC5D11" w14:textId="5559B853" w:rsidR="004155E5" w:rsidRPr="002F16E1" w:rsidRDefault="004155E5" w:rsidP="009E380F">
            <w:pPr>
              <w:spacing w:before="120" w:after="120"/>
              <w:rPr>
                <w:b/>
                <w:sz w:val="18"/>
                <w:szCs w:val="18"/>
              </w:rPr>
            </w:pPr>
            <w:r>
              <w:rPr>
                <w:b/>
                <w:sz w:val="18"/>
                <w:szCs w:val="18"/>
              </w:rPr>
              <w:t>7/10</w:t>
            </w:r>
          </w:p>
        </w:tc>
        <w:tc>
          <w:tcPr>
            <w:tcW w:w="2042" w:type="dxa"/>
            <w:shd w:val="clear" w:color="auto" w:fill="auto"/>
          </w:tcPr>
          <w:p w14:paraId="4E1B1B15" w14:textId="6E013D1D"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00EAE088" w14:textId="40927021" w:rsidR="004155E5" w:rsidRPr="002F16E1" w:rsidRDefault="004155E5" w:rsidP="009E380F">
            <w:pPr>
              <w:spacing w:before="120" w:after="120"/>
              <w:rPr>
                <w:b/>
                <w:sz w:val="18"/>
                <w:szCs w:val="18"/>
              </w:rPr>
            </w:pPr>
            <w:r>
              <w:rPr>
                <w:b/>
                <w:sz w:val="18"/>
                <w:szCs w:val="18"/>
              </w:rPr>
              <w:t>RCT</w:t>
            </w:r>
          </w:p>
        </w:tc>
      </w:tr>
      <w:tr w:rsidR="004155E5" w:rsidRPr="002F16E1" w14:paraId="45FF8636" w14:textId="77777777" w:rsidTr="009306BB">
        <w:tc>
          <w:tcPr>
            <w:tcW w:w="3987" w:type="dxa"/>
            <w:tcBorders>
              <w:right w:val="single" w:sz="8" w:space="0" w:color="auto"/>
            </w:tcBorders>
            <w:shd w:val="clear" w:color="auto" w:fill="auto"/>
          </w:tcPr>
          <w:p w14:paraId="1C70F0BF" w14:textId="4CE47FB9" w:rsidR="004155E5" w:rsidRPr="002F16E1" w:rsidRDefault="004155E5" w:rsidP="009E380F">
            <w:pPr>
              <w:spacing w:before="120" w:after="120"/>
              <w:rPr>
                <w:b/>
                <w:sz w:val="18"/>
                <w:szCs w:val="18"/>
              </w:rPr>
            </w:pPr>
            <w:proofErr w:type="spellStart"/>
            <w:r>
              <w:rPr>
                <w:b/>
                <w:sz w:val="18"/>
                <w:szCs w:val="18"/>
              </w:rPr>
              <w:t>Knobloch</w:t>
            </w:r>
            <w:proofErr w:type="spellEnd"/>
            <w:r>
              <w:rPr>
                <w:b/>
                <w:sz w:val="18"/>
                <w:szCs w:val="18"/>
              </w:rPr>
              <w:t xml:space="preserve"> K (2008) – Eccentric </w:t>
            </w:r>
          </w:p>
        </w:tc>
        <w:tc>
          <w:tcPr>
            <w:tcW w:w="1733" w:type="dxa"/>
            <w:tcBorders>
              <w:left w:val="single" w:sz="8" w:space="0" w:color="auto"/>
            </w:tcBorders>
            <w:shd w:val="clear" w:color="auto" w:fill="auto"/>
          </w:tcPr>
          <w:p w14:paraId="33D09047" w14:textId="7504BEF6" w:rsidR="004155E5" w:rsidRPr="002F16E1" w:rsidRDefault="004155E5" w:rsidP="009E380F">
            <w:pPr>
              <w:spacing w:before="120" w:after="120"/>
              <w:rPr>
                <w:b/>
                <w:sz w:val="18"/>
                <w:szCs w:val="18"/>
              </w:rPr>
            </w:pPr>
            <w:r>
              <w:rPr>
                <w:b/>
                <w:sz w:val="18"/>
                <w:szCs w:val="18"/>
              </w:rPr>
              <w:t>6/10</w:t>
            </w:r>
          </w:p>
        </w:tc>
        <w:tc>
          <w:tcPr>
            <w:tcW w:w="2042" w:type="dxa"/>
            <w:shd w:val="clear" w:color="auto" w:fill="auto"/>
          </w:tcPr>
          <w:p w14:paraId="633BB2CE" w14:textId="521ECCA4"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04477FD3" w14:textId="029D915D" w:rsidR="004155E5" w:rsidRPr="002F16E1" w:rsidRDefault="004155E5" w:rsidP="009E380F">
            <w:pPr>
              <w:spacing w:before="120" w:after="120"/>
              <w:rPr>
                <w:b/>
                <w:sz w:val="18"/>
                <w:szCs w:val="18"/>
              </w:rPr>
            </w:pPr>
            <w:r>
              <w:rPr>
                <w:b/>
                <w:sz w:val="18"/>
                <w:szCs w:val="18"/>
              </w:rPr>
              <w:t>RCT</w:t>
            </w:r>
          </w:p>
        </w:tc>
      </w:tr>
      <w:tr w:rsidR="004155E5" w:rsidRPr="002F16E1" w14:paraId="2BA7A11E" w14:textId="77777777" w:rsidTr="009306BB">
        <w:tc>
          <w:tcPr>
            <w:tcW w:w="3987" w:type="dxa"/>
            <w:tcBorders>
              <w:right w:val="single" w:sz="8" w:space="0" w:color="auto"/>
            </w:tcBorders>
            <w:shd w:val="clear" w:color="auto" w:fill="auto"/>
          </w:tcPr>
          <w:p w14:paraId="76CCA72C" w14:textId="71DE51D5" w:rsidR="004155E5" w:rsidRPr="002F16E1" w:rsidRDefault="004155E5" w:rsidP="009E380F">
            <w:pPr>
              <w:spacing w:before="120" w:after="120"/>
              <w:rPr>
                <w:b/>
                <w:sz w:val="18"/>
                <w:szCs w:val="18"/>
              </w:rPr>
            </w:pPr>
            <w:r>
              <w:rPr>
                <w:b/>
                <w:sz w:val="18"/>
                <w:szCs w:val="18"/>
              </w:rPr>
              <w:t xml:space="preserve">De </w:t>
            </w:r>
            <w:proofErr w:type="spellStart"/>
            <w:r>
              <w:rPr>
                <w:b/>
                <w:sz w:val="18"/>
                <w:szCs w:val="18"/>
              </w:rPr>
              <w:t>Vos</w:t>
            </w:r>
            <w:proofErr w:type="spellEnd"/>
            <w:r>
              <w:rPr>
                <w:b/>
                <w:sz w:val="18"/>
                <w:szCs w:val="18"/>
              </w:rPr>
              <w:t xml:space="preserve"> R (2006) – Eccentric</w:t>
            </w:r>
          </w:p>
        </w:tc>
        <w:tc>
          <w:tcPr>
            <w:tcW w:w="1733" w:type="dxa"/>
            <w:tcBorders>
              <w:left w:val="single" w:sz="8" w:space="0" w:color="auto"/>
            </w:tcBorders>
            <w:shd w:val="clear" w:color="auto" w:fill="auto"/>
          </w:tcPr>
          <w:p w14:paraId="24362FDB" w14:textId="78F6494C" w:rsidR="004155E5" w:rsidRPr="002F16E1" w:rsidRDefault="004155E5" w:rsidP="009E380F">
            <w:pPr>
              <w:spacing w:before="120" w:after="120"/>
              <w:rPr>
                <w:b/>
                <w:sz w:val="18"/>
                <w:szCs w:val="18"/>
              </w:rPr>
            </w:pPr>
            <w:r>
              <w:rPr>
                <w:b/>
                <w:sz w:val="18"/>
                <w:szCs w:val="18"/>
              </w:rPr>
              <w:t>5/10</w:t>
            </w:r>
          </w:p>
        </w:tc>
        <w:tc>
          <w:tcPr>
            <w:tcW w:w="2042" w:type="dxa"/>
            <w:shd w:val="clear" w:color="auto" w:fill="auto"/>
          </w:tcPr>
          <w:p w14:paraId="4DD6BB8D" w14:textId="1B66CF30"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41E5E5A4" w14:textId="5227318A" w:rsidR="004155E5" w:rsidRPr="002F16E1" w:rsidRDefault="004155E5" w:rsidP="009E380F">
            <w:pPr>
              <w:spacing w:before="120" w:after="120"/>
              <w:rPr>
                <w:b/>
                <w:sz w:val="18"/>
                <w:szCs w:val="18"/>
              </w:rPr>
            </w:pPr>
            <w:r>
              <w:rPr>
                <w:b/>
                <w:sz w:val="18"/>
                <w:szCs w:val="18"/>
              </w:rPr>
              <w:t>RCT</w:t>
            </w:r>
          </w:p>
        </w:tc>
      </w:tr>
      <w:tr w:rsidR="004155E5" w:rsidRPr="002F16E1" w14:paraId="65FB9AB1" w14:textId="77777777" w:rsidTr="009306BB">
        <w:tc>
          <w:tcPr>
            <w:tcW w:w="3987" w:type="dxa"/>
            <w:tcBorders>
              <w:right w:val="single" w:sz="8" w:space="0" w:color="auto"/>
            </w:tcBorders>
            <w:shd w:val="clear" w:color="auto" w:fill="auto"/>
          </w:tcPr>
          <w:p w14:paraId="58DCBBE3" w14:textId="44A45173" w:rsidR="004155E5" w:rsidRPr="002F16E1" w:rsidRDefault="004155E5" w:rsidP="009E380F">
            <w:pPr>
              <w:spacing w:before="120" w:after="120"/>
              <w:rPr>
                <w:b/>
                <w:sz w:val="18"/>
                <w:szCs w:val="18"/>
              </w:rPr>
            </w:pPr>
            <w:proofErr w:type="spellStart"/>
            <w:r>
              <w:rPr>
                <w:b/>
                <w:sz w:val="18"/>
                <w:szCs w:val="18"/>
              </w:rPr>
              <w:t>Tumilty</w:t>
            </w:r>
            <w:proofErr w:type="spellEnd"/>
            <w:r>
              <w:rPr>
                <w:b/>
                <w:sz w:val="18"/>
                <w:szCs w:val="18"/>
              </w:rPr>
              <w:t xml:space="preserve"> S (2012) – Eccentric</w:t>
            </w:r>
          </w:p>
        </w:tc>
        <w:tc>
          <w:tcPr>
            <w:tcW w:w="1733" w:type="dxa"/>
            <w:tcBorders>
              <w:left w:val="single" w:sz="8" w:space="0" w:color="auto"/>
            </w:tcBorders>
            <w:shd w:val="clear" w:color="auto" w:fill="auto"/>
          </w:tcPr>
          <w:p w14:paraId="2720D1F4" w14:textId="6ED58C34" w:rsidR="004155E5" w:rsidRPr="002F16E1" w:rsidRDefault="004155E5" w:rsidP="009E380F">
            <w:pPr>
              <w:spacing w:before="120" w:after="120"/>
              <w:rPr>
                <w:b/>
                <w:sz w:val="18"/>
                <w:szCs w:val="18"/>
              </w:rPr>
            </w:pPr>
            <w:r>
              <w:rPr>
                <w:b/>
                <w:sz w:val="18"/>
                <w:szCs w:val="18"/>
              </w:rPr>
              <w:t>9/10</w:t>
            </w:r>
          </w:p>
        </w:tc>
        <w:tc>
          <w:tcPr>
            <w:tcW w:w="2042" w:type="dxa"/>
            <w:shd w:val="clear" w:color="auto" w:fill="auto"/>
          </w:tcPr>
          <w:p w14:paraId="312332FE" w14:textId="1170A885" w:rsidR="004155E5" w:rsidRPr="002F16E1" w:rsidRDefault="004155E5" w:rsidP="009E380F">
            <w:pPr>
              <w:spacing w:before="120" w:after="120"/>
              <w:rPr>
                <w:b/>
                <w:sz w:val="18"/>
                <w:szCs w:val="18"/>
              </w:rPr>
            </w:pPr>
            <w:r>
              <w:rPr>
                <w:b/>
                <w:sz w:val="18"/>
                <w:szCs w:val="18"/>
              </w:rPr>
              <w:t>2b</w:t>
            </w:r>
          </w:p>
        </w:tc>
        <w:tc>
          <w:tcPr>
            <w:tcW w:w="2659" w:type="dxa"/>
            <w:shd w:val="clear" w:color="auto" w:fill="auto"/>
          </w:tcPr>
          <w:p w14:paraId="2E67FA57" w14:textId="29FDB316" w:rsidR="004155E5" w:rsidRPr="002F16E1" w:rsidRDefault="004155E5" w:rsidP="009E380F">
            <w:pPr>
              <w:spacing w:before="120" w:after="120"/>
              <w:rPr>
                <w:b/>
                <w:sz w:val="18"/>
                <w:szCs w:val="18"/>
              </w:rPr>
            </w:pPr>
            <w:r>
              <w:rPr>
                <w:b/>
                <w:sz w:val="18"/>
                <w:szCs w:val="18"/>
              </w:rPr>
              <w:t>RCT</w:t>
            </w:r>
          </w:p>
        </w:tc>
      </w:tr>
      <w:tr w:rsidR="004155E5" w:rsidRPr="002F16E1" w14:paraId="713C960D" w14:textId="77777777" w:rsidTr="009306BB">
        <w:tc>
          <w:tcPr>
            <w:tcW w:w="3987" w:type="dxa"/>
            <w:tcBorders>
              <w:right w:val="single" w:sz="8" w:space="0" w:color="auto"/>
            </w:tcBorders>
            <w:shd w:val="clear" w:color="auto" w:fill="auto"/>
          </w:tcPr>
          <w:p w14:paraId="006A7642" w14:textId="04CC1263" w:rsidR="004155E5" w:rsidRPr="002F16E1" w:rsidRDefault="004155E5" w:rsidP="009E380F">
            <w:pPr>
              <w:spacing w:before="120" w:after="120"/>
              <w:rPr>
                <w:b/>
                <w:sz w:val="18"/>
                <w:szCs w:val="18"/>
              </w:rPr>
            </w:pPr>
            <w:r>
              <w:rPr>
                <w:b/>
                <w:sz w:val="18"/>
                <w:szCs w:val="18"/>
              </w:rPr>
              <w:t>Gill SS (2004) – Steroid</w:t>
            </w:r>
          </w:p>
        </w:tc>
        <w:tc>
          <w:tcPr>
            <w:tcW w:w="1733" w:type="dxa"/>
            <w:tcBorders>
              <w:left w:val="single" w:sz="8" w:space="0" w:color="auto"/>
            </w:tcBorders>
            <w:shd w:val="clear" w:color="auto" w:fill="auto"/>
          </w:tcPr>
          <w:p w14:paraId="0F47826B" w14:textId="2A5453A8" w:rsidR="004155E5" w:rsidRPr="002F16E1" w:rsidRDefault="004155E5" w:rsidP="009E380F">
            <w:pPr>
              <w:spacing w:before="120" w:after="120"/>
              <w:rPr>
                <w:b/>
                <w:sz w:val="18"/>
                <w:szCs w:val="18"/>
              </w:rPr>
            </w:pPr>
            <w:r>
              <w:rPr>
                <w:b/>
                <w:sz w:val="18"/>
                <w:szCs w:val="18"/>
              </w:rPr>
              <w:t>Poor</w:t>
            </w:r>
          </w:p>
        </w:tc>
        <w:tc>
          <w:tcPr>
            <w:tcW w:w="2042" w:type="dxa"/>
            <w:shd w:val="clear" w:color="auto" w:fill="auto"/>
          </w:tcPr>
          <w:p w14:paraId="4562FE71" w14:textId="640FFDB5" w:rsidR="004155E5" w:rsidRPr="002F16E1" w:rsidRDefault="004155E5" w:rsidP="009E380F">
            <w:pPr>
              <w:spacing w:before="120" w:after="120"/>
              <w:rPr>
                <w:b/>
                <w:sz w:val="18"/>
                <w:szCs w:val="18"/>
              </w:rPr>
            </w:pPr>
            <w:r>
              <w:rPr>
                <w:b/>
                <w:sz w:val="18"/>
                <w:szCs w:val="18"/>
              </w:rPr>
              <w:t>4</w:t>
            </w:r>
          </w:p>
        </w:tc>
        <w:tc>
          <w:tcPr>
            <w:tcW w:w="2659" w:type="dxa"/>
            <w:shd w:val="clear" w:color="auto" w:fill="auto"/>
          </w:tcPr>
          <w:p w14:paraId="01C8038B" w14:textId="5484EC2F" w:rsidR="004155E5" w:rsidRPr="002F16E1" w:rsidRDefault="004155E5" w:rsidP="009E380F">
            <w:pPr>
              <w:spacing w:before="120" w:after="120"/>
              <w:rPr>
                <w:b/>
                <w:sz w:val="18"/>
                <w:szCs w:val="18"/>
              </w:rPr>
            </w:pPr>
            <w:r>
              <w:rPr>
                <w:b/>
                <w:sz w:val="18"/>
                <w:szCs w:val="18"/>
              </w:rPr>
              <w:t>Case Series</w:t>
            </w:r>
          </w:p>
        </w:tc>
      </w:tr>
      <w:tr w:rsidR="004155E5" w:rsidRPr="002F16E1" w14:paraId="4A7311E8" w14:textId="77777777" w:rsidTr="009306BB">
        <w:tc>
          <w:tcPr>
            <w:tcW w:w="3987" w:type="dxa"/>
            <w:tcBorders>
              <w:right w:val="single" w:sz="8" w:space="0" w:color="auto"/>
            </w:tcBorders>
            <w:shd w:val="clear" w:color="auto" w:fill="auto"/>
          </w:tcPr>
          <w:p w14:paraId="3C557786" w14:textId="0A65A257" w:rsidR="004155E5" w:rsidRPr="002F16E1" w:rsidRDefault="004155E5" w:rsidP="009E380F">
            <w:pPr>
              <w:spacing w:before="120" w:after="120"/>
              <w:rPr>
                <w:b/>
                <w:sz w:val="18"/>
                <w:szCs w:val="18"/>
              </w:rPr>
            </w:pPr>
            <w:r>
              <w:rPr>
                <w:b/>
                <w:sz w:val="18"/>
                <w:szCs w:val="18"/>
              </w:rPr>
              <w:t>Read MTF (1992) – Steroid</w:t>
            </w:r>
          </w:p>
        </w:tc>
        <w:tc>
          <w:tcPr>
            <w:tcW w:w="1733" w:type="dxa"/>
            <w:tcBorders>
              <w:left w:val="single" w:sz="8" w:space="0" w:color="auto"/>
            </w:tcBorders>
            <w:shd w:val="clear" w:color="auto" w:fill="auto"/>
          </w:tcPr>
          <w:p w14:paraId="35D71165" w14:textId="062823A8" w:rsidR="004155E5" w:rsidRPr="002F16E1" w:rsidRDefault="004155E5" w:rsidP="009E380F">
            <w:pPr>
              <w:spacing w:before="120" w:after="120"/>
              <w:rPr>
                <w:b/>
                <w:sz w:val="18"/>
                <w:szCs w:val="18"/>
              </w:rPr>
            </w:pPr>
            <w:r>
              <w:rPr>
                <w:b/>
                <w:sz w:val="18"/>
                <w:szCs w:val="18"/>
              </w:rPr>
              <w:t>Poor</w:t>
            </w:r>
          </w:p>
        </w:tc>
        <w:tc>
          <w:tcPr>
            <w:tcW w:w="2042" w:type="dxa"/>
            <w:shd w:val="clear" w:color="auto" w:fill="auto"/>
          </w:tcPr>
          <w:p w14:paraId="16C30EA2" w14:textId="573C8286" w:rsidR="004155E5" w:rsidRPr="002F16E1" w:rsidRDefault="004155E5" w:rsidP="009E380F">
            <w:pPr>
              <w:spacing w:before="120" w:after="120"/>
              <w:rPr>
                <w:b/>
                <w:sz w:val="18"/>
                <w:szCs w:val="18"/>
              </w:rPr>
            </w:pPr>
            <w:r>
              <w:rPr>
                <w:b/>
                <w:sz w:val="18"/>
                <w:szCs w:val="18"/>
              </w:rPr>
              <w:t>4</w:t>
            </w:r>
          </w:p>
        </w:tc>
        <w:tc>
          <w:tcPr>
            <w:tcW w:w="2659" w:type="dxa"/>
            <w:shd w:val="clear" w:color="auto" w:fill="auto"/>
          </w:tcPr>
          <w:p w14:paraId="54152681" w14:textId="47682406" w:rsidR="004155E5" w:rsidRPr="002F16E1" w:rsidRDefault="004155E5" w:rsidP="009E380F">
            <w:pPr>
              <w:spacing w:before="120" w:after="120"/>
              <w:rPr>
                <w:b/>
                <w:sz w:val="18"/>
                <w:szCs w:val="18"/>
              </w:rPr>
            </w:pPr>
            <w:r>
              <w:rPr>
                <w:b/>
                <w:sz w:val="18"/>
                <w:szCs w:val="18"/>
              </w:rPr>
              <w:t>Retrospective Study</w:t>
            </w:r>
          </w:p>
        </w:tc>
      </w:tr>
      <w:tr w:rsidR="004155E5" w:rsidRPr="002F16E1" w14:paraId="3AC80E52" w14:textId="77777777" w:rsidTr="009306BB">
        <w:tc>
          <w:tcPr>
            <w:tcW w:w="3987" w:type="dxa"/>
            <w:tcBorders>
              <w:right w:val="single" w:sz="8" w:space="0" w:color="auto"/>
            </w:tcBorders>
            <w:shd w:val="clear" w:color="auto" w:fill="auto"/>
          </w:tcPr>
          <w:p w14:paraId="3B82D277" w14:textId="013ACFC1" w:rsidR="004155E5" w:rsidRPr="002F16E1" w:rsidRDefault="004155E5" w:rsidP="009E380F">
            <w:pPr>
              <w:spacing w:before="120" w:after="120"/>
              <w:rPr>
                <w:b/>
                <w:sz w:val="18"/>
                <w:szCs w:val="18"/>
              </w:rPr>
            </w:pPr>
            <w:proofErr w:type="spellStart"/>
            <w:r>
              <w:rPr>
                <w:b/>
                <w:sz w:val="18"/>
                <w:szCs w:val="18"/>
              </w:rPr>
              <w:t>Coombes</w:t>
            </w:r>
            <w:proofErr w:type="spellEnd"/>
            <w:r>
              <w:rPr>
                <w:b/>
                <w:sz w:val="18"/>
                <w:szCs w:val="18"/>
              </w:rPr>
              <w:t xml:space="preserve"> BK (2010) – Steroid</w:t>
            </w:r>
          </w:p>
        </w:tc>
        <w:tc>
          <w:tcPr>
            <w:tcW w:w="1733" w:type="dxa"/>
            <w:tcBorders>
              <w:left w:val="single" w:sz="8" w:space="0" w:color="auto"/>
            </w:tcBorders>
            <w:shd w:val="clear" w:color="auto" w:fill="auto"/>
          </w:tcPr>
          <w:p w14:paraId="24D0E943" w14:textId="4840BCDC" w:rsidR="004155E5" w:rsidRPr="002F16E1" w:rsidRDefault="004155E5" w:rsidP="009E380F">
            <w:pPr>
              <w:spacing w:before="120" w:after="120"/>
              <w:rPr>
                <w:b/>
                <w:sz w:val="18"/>
                <w:szCs w:val="18"/>
              </w:rPr>
            </w:pPr>
            <w:r>
              <w:rPr>
                <w:b/>
                <w:sz w:val="18"/>
                <w:szCs w:val="18"/>
              </w:rPr>
              <w:t>34/44</w:t>
            </w:r>
          </w:p>
        </w:tc>
        <w:tc>
          <w:tcPr>
            <w:tcW w:w="2042" w:type="dxa"/>
            <w:shd w:val="clear" w:color="auto" w:fill="auto"/>
          </w:tcPr>
          <w:p w14:paraId="7D91747F" w14:textId="769A2208" w:rsidR="004155E5" w:rsidRPr="002F16E1" w:rsidRDefault="004155E5" w:rsidP="009E380F">
            <w:pPr>
              <w:spacing w:before="120" w:after="120"/>
              <w:rPr>
                <w:b/>
                <w:sz w:val="18"/>
                <w:szCs w:val="18"/>
              </w:rPr>
            </w:pPr>
            <w:r>
              <w:rPr>
                <w:b/>
                <w:sz w:val="18"/>
                <w:szCs w:val="18"/>
              </w:rPr>
              <w:t>1a</w:t>
            </w:r>
          </w:p>
        </w:tc>
        <w:tc>
          <w:tcPr>
            <w:tcW w:w="2659" w:type="dxa"/>
            <w:shd w:val="clear" w:color="auto" w:fill="auto"/>
          </w:tcPr>
          <w:p w14:paraId="502F1F13" w14:textId="1218779B" w:rsidR="004155E5" w:rsidRPr="002F16E1" w:rsidRDefault="004155E5" w:rsidP="009E380F">
            <w:pPr>
              <w:spacing w:before="120" w:after="120"/>
              <w:rPr>
                <w:b/>
                <w:sz w:val="18"/>
                <w:szCs w:val="18"/>
              </w:rPr>
            </w:pPr>
            <w:r>
              <w:rPr>
                <w:b/>
                <w:sz w:val="18"/>
                <w:szCs w:val="18"/>
              </w:rPr>
              <w:t>Systematic Review of RCTs</w:t>
            </w:r>
          </w:p>
        </w:tc>
      </w:tr>
      <w:tr w:rsidR="004155E5" w:rsidRPr="002F16E1" w14:paraId="291BB738" w14:textId="77777777" w:rsidTr="009306BB">
        <w:tc>
          <w:tcPr>
            <w:tcW w:w="3987" w:type="dxa"/>
            <w:tcBorders>
              <w:right w:val="single" w:sz="8" w:space="0" w:color="auto"/>
            </w:tcBorders>
            <w:shd w:val="clear" w:color="auto" w:fill="auto"/>
          </w:tcPr>
          <w:p w14:paraId="27DA2147" w14:textId="77777777" w:rsidR="004155E5" w:rsidRPr="002F16E1" w:rsidRDefault="004155E5" w:rsidP="009E380F">
            <w:pPr>
              <w:spacing w:before="120" w:after="120"/>
              <w:rPr>
                <w:b/>
                <w:sz w:val="18"/>
                <w:szCs w:val="18"/>
              </w:rPr>
            </w:pPr>
          </w:p>
        </w:tc>
        <w:tc>
          <w:tcPr>
            <w:tcW w:w="1733" w:type="dxa"/>
            <w:tcBorders>
              <w:left w:val="single" w:sz="8" w:space="0" w:color="auto"/>
            </w:tcBorders>
            <w:shd w:val="clear" w:color="auto" w:fill="auto"/>
          </w:tcPr>
          <w:p w14:paraId="763B7130" w14:textId="77777777" w:rsidR="004155E5" w:rsidRPr="002F16E1" w:rsidRDefault="004155E5" w:rsidP="009E380F">
            <w:pPr>
              <w:spacing w:before="120" w:after="120"/>
              <w:rPr>
                <w:b/>
                <w:sz w:val="18"/>
                <w:szCs w:val="18"/>
              </w:rPr>
            </w:pPr>
          </w:p>
        </w:tc>
        <w:tc>
          <w:tcPr>
            <w:tcW w:w="2042" w:type="dxa"/>
            <w:shd w:val="clear" w:color="auto" w:fill="auto"/>
          </w:tcPr>
          <w:p w14:paraId="61723AD1" w14:textId="77777777" w:rsidR="004155E5" w:rsidRPr="002F16E1" w:rsidRDefault="004155E5" w:rsidP="009E380F">
            <w:pPr>
              <w:spacing w:before="120" w:after="120"/>
              <w:rPr>
                <w:b/>
                <w:sz w:val="18"/>
                <w:szCs w:val="18"/>
              </w:rPr>
            </w:pPr>
          </w:p>
        </w:tc>
        <w:tc>
          <w:tcPr>
            <w:tcW w:w="2659" w:type="dxa"/>
            <w:shd w:val="clear" w:color="auto" w:fill="auto"/>
          </w:tcPr>
          <w:p w14:paraId="764751D8" w14:textId="77777777" w:rsidR="004155E5" w:rsidRPr="002F16E1" w:rsidRDefault="004155E5" w:rsidP="009E380F">
            <w:pPr>
              <w:spacing w:before="120" w:after="120"/>
              <w:rPr>
                <w:b/>
                <w:sz w:val="18"/>
                <w:szCs w:val="18"/>
              </w:rPr>
            </w:pPr>
          </w:p>
        </w:tc>
      </w:tr>
    </w:tbl>
    <w:p w14:paraId="27509A9D" w14:textId="77777777" w:rsidR="00554FFC" w:rsidRPr="00554FFC" w:rsidRDefault="00554FFC" w:rsidP="002975D0">
      <w:pPr>
        <w:spacing w:before="120" w:after="120"/>
        <w:rPr>
          <w:sz w:val="18"/>
          <w:szCs w:val="18"/>
        </w:rPr>
      </w:pPr>
    </w:p>
    <w:p w14:paraId="5A484682" w14:textId="77777777" w:rsidR="001C5A94" w:rsidRDefault="001403EC" w:rsidP="001C5A94">
      <w:pPr>
        <w:spacing w:before="120" w:after="120"/>
        <w:rPr>
          <w:b/>
          <w:sz w:val="18"/>
          <w:szCs w:val="18"/>
        </w:rPr>
      </w:pPr>
      <w:r w:rsidRPr="00B75AAB">
        <w:rPr>
          <w:b/>
          <w:sz w:val="18"/>
          <w:szCs w:val="18"/>
        </w:rPr>
        <w:t>BEST EVIDENCE</w:t>
      </w:r>
    </w:p>
    <w:p w14:paraId="21C5E263"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19840ED2" w14:textId="77777777" w:rsidTr="002F16E1">
        <w:tc>
          <w:tcPr>
            <w:tcW w:w="10421" w:type="dxa"/>
            <w:shd w:val="clear" w:color="auto" w:fill="auto"/>
          </w:tcPr>
          <w:p w14:paraId="3F8ABECA" w14:textId="1388916F" w:rsidR="005458B8" w:rsidRPr="002F16E1" w:rsidRDefault="009306BB" w:rsidP="002F16E1">
            <w:pPr>
              <w:numPr>
                <w:ilvl w:val="0"/>
                <w:numId w:val="12"/>
              </w:numPr>
              <w:spacing w:before="120" w:after="120"/>
              <w:rPr>
                <w:b/>
                <w:sz w:val="18"/>
                <w:szCs w:val="18"/>
              </w:rPr>
            </w:pPr>
            <w:r>
              <w:rPr>
                <w:b/>
                <w:sz w:val="18"/>
                <w:szCs w:val="18"/>
              </w:rPr>
              <w:t xml:space="preserve">Eccentric Loading, Shock-Wave Treatment, or a Wait-and-See Policy for </w:t>
            </w:r>
            <w:proofErr w:type="spellStart"/>
            <w:r>
              <w:rPr>
                <w:b/>
                <w:sz w:val="18"/>
                <w:szCs w:val="18"/>
              </w:rPr>
              <w:t>Tendinopathy</w:t>
            </w:r>
            <w:proofErr w:type="spellEnd"/>
            <w:r>
              <w:rPr>
                <w:b/>
                <w:sz w:val="18"/>
                <w:szCs w:val="18"/>
              </w:rPr>
              <w:t xml:space="preserve"> of the Main Body of </w:t>
            </w:r>
            <w:proofErr w:type="spellStart"/>
            <w:r>
              <w:rPr>
                <w:b/>
                <w:sz w:val="18"/>
                <w:szCs w:val="18"/>
              </w:rPr>
              <w:t>Tendo</w:t>
            </w:r>
            <w:proofErr w:type="spellEnd"/>
            <w:r>
              <w:rPr>
                <w:b/>
                <w:sz w:val="18"/>
                <w:szCs w:val="18"/>
              </w:rPr>
              <w:t xml:space="preserve"> </w:t>
            </w:r>
            <w:proofErr w:type="spellStart"/>
            <w:r>
              <w:rPr>
                <w:b/>
                <w:sz w:val="18"/>
                <w:szCs w:val="18"/>
              </w:rPr>
              <w:t>Achillis</w:t>
            </w:r>
            <w:proofErr w:type="spellEnd"/>
            <w:r>
              <w:rPr>
                <w:b/>
                <w:sz w:val="18"/>
                <w:szCs w:val="18"/>
              </w:rPr>
              <w:t xml:space="preserve"> (</w:t>
            </w:r>
            <w:proofErr w:type="spellStart"/>
            <w:r>
              <w:rPr>
                <w:b/>
                <w:sz w:val="18"/>
                <w:szCs w:val="18"/>
              </w:rPr>
              <w:t>Rompe</w:t>
            </w:r>
            <w:proofErr w:type="spellEnd"/>
            <w:r>
              <w:rPr>
                <w:b/>
                <w:sz w:val="18"/>
                <w:szCs w:val="18"/>
              </w:rPr>
              <w:t xml:space="preserve"> JD, et al. 2007).</w:t>
            </w:r>
          </w:p>
          <w:p w14:paraId="7C1C4516" w14:textId="77777777" w:rsidR="009306BB" w:rsidRPr="002F16E1" w:rsidRDefault="009306BB" w:rsidP="009306BB">
            <w:pPr>
              <w:numPr>
                <w:ilvl w:val="0"/>
                <w:numId w:val="12"/>
              </w:numPr>
              <w:spacing w:before="120" w:after="120"/>
              <w:rPr>
                <w:b/>
                <w:sz w:val="18"/>
                <w:szCs w:val="18"/>
              </w:rPr>
            </w:pPr>
            <w:r>
              <w:rPr>
                <w:b/>
                <w:sz w:val="18"/>
                <w:szCs w:val="18"/>
              </w:rPr>
              <w:t xml:space="preserve">Clinical improvement after 6 weeks of eccentric exercise in patients with mid-portion Achilles </w:t>
            </w:r>
            <w:proofErr w:type="spellStart"/>
            <w:r>
              <w:rPr>
                <w:b/>
                <w:sz w:val="18"/>
                <w:szCs w:val="18"/>
              </w:rPr>
              <w:t>tendinopathy</w:t>
            </w:r>
            <w:proofErr w:type="spellEnd"/>
            <w:r>
              <w:rPr>
                <w:b/>
                <w:sz w:val="18"/>
                <w:szCs w:val="18"/>
              </w:rPr>
              <w:t xml:space="preserve"> – a randomized control trial (</w:t>
            </w:r>
            <w:proofErr w:type="spellStart"/>
            <w:r>
              <w:rPr>
                <w:b/>
                <w:sz w:val="18"/>
                <w:szCs w:val="18"/>
              </w:rPr>
              <w:t>Roos</w:t>
            </w:r>
            <w:proofErr w:type="spellEnd"/>
            <w:r>
              <w:rPr>
                <w:b/>
                <w:sz w:val="18"/>
                <w:szCs w:val="18"/>
              </w:rPr>
              <w:t xml:space="preserve"> EM, et al. 2004) </w:t>
            </w:r>
          </w:p>
          <w:p w14:paraId="016D0B7A" w14:textId="1197AD11" w:rsidR="005458B8" w:rsidRDefault="009306BB" w:rsidP="00930598">
            <w:pPr>
              <w:numPr>
                <w:ilvl w:val="0"/>
                <w:numId w:val="12"/>
              </w:numPr>
              <w:spacing w:before="120" w:after="120"/>
              <w:rPr>
                <w:b/>
                <w:sz w:val="18"/>
                <w:szCs w:val="18"/>
              </w:rPr>
            </w:pPr>
            <w:r>
              <w:rPr>
                <w:b/>
                <w:sz w:val="18"/>
                <w:szCs w:val="18"/>
              </w:rPr>
              <w:t xml:space="preserve">Achilles </w:t>
            </w:r>
            <w:proofErr w:type="spellStart"/>
            <w:r>
              <w:rPr>
                <w:b/>
                <w:sz w:val="18"/>
                <w:szCs w:val="18"/>
              </w:rPr>
              <w:t>Paratendonitis</w:t>
            </w:r>
            <w:proofErr w:type="spellEnd"/>
            <w:r>
              <w:rPr>
                <w:b/>
                <w:sz w:val="18"/>
                <w:szCs w:val="18"/>
              </w:rPr>
              <w:t>: An Evaluation of Steroid Inject</w:t>
            </w:r>
            <w:r w:rsidR="00930598">
              <w:rPr>
                <w:b/>
                <w:sz w:val="18"/>
                <w:szCs w:val="18"/>
              </w:rPr>
              <w:t>ions (</w:t>
            </w:r>
            <w:proofErr w:type="spellStart"/>
            <w:r w:rsidR="00930598">
              <w:rPr>
                <w:b/>
                <w:sz w:val="18"/>
                <w:szCs w:val="18"/>
              </w:rPr>
              <w:t>DaCruz</w:t>
            </w:r>
            <w:proofErr w:type="spellEnd"/>
            <w:r w:rsidR="00930598">
              <w:rPr>
                <w:b/>
                <w:sz w:val="18"/>
                <w:szCs w:val="18"/>
              </w:rPr>
              <w:t xml:space="preserve"> DJ, et al. 1988) </w:t>
            </w:r>
          </w:p>
          <w:p w14:paraId="6801B166" w14:textId="66ABC580" w:rsidR="00930598" w:rsidRDefault="00930598" w:rsidP="00930598">
            <w:pPr>
              <w:numPr>
                <w:ilvl w:val="0"/>
                <w:numId w:val="12"/>
              </w:numPr>
              <w:spacing w:before="120" w:after="120"/>
              <w:rPr>
                <w:b/>
                <w:sz w:val="18"/>
                <w:szCs w:val="18"/>
              </w:rPr>
            </w:pPr>
            <w:r>
              <w:rPr>
                <w:sz w:val="18"/>
                <w:szCs w:val="18"/>
              </w:rPr>
              <w:t xml:space="preserve">The first two papers by </w:t>
            </w:r>
            <w:proofErr w:type="spellStart"/>
            <w:r>
              <w:rPr>
                <w:sz w:val="18"/>
                <w:szCs w:val="18"/>
              </w:rPr>
              <w:t>Rompe</w:t>
            </w:r>
            <w:proofErr w:type="spellEnd"/>
            <w:r>
              <w:rPr>
                <w:sz w:val="18"/>
                <w:szCs w:val="18"/>
              </w:rPr>
              <w:t xml:space="preserve">, et al and </w:t>
            </w:r>
            <w:proofErr w:type="spellStart"/>
            <w:r>
              <w:rPr>
                <w:sz w:val="18"/>
                <w:szCs w:val="18"/>
              </w:rPr>
              <w:t>Roos</w:t>
            </w:r>
            <w:proofErr w:type="spellEnd"/>
            <w:r>
              <w:rPr>
                <w:sz w:val="18"/>
                <w:szCs w:val="18"/>
              </w:rPr>
              <w:t xml:space="preserve">, et al relating to eccentrics </w:t>
            </w:r>
            <w:proofErr w:type="gramStart"/>
            <w:r>
              <w:rPr>
                <w:sz w:val="18"/>
                <w:szCs w:val="18"/>
              </w:rPr>
              <w:t>were</w:t>
            </w:r>
            <w:proofErr w:type="gramEnd"/>
            <w:r>
              <w:rPr>
                <w:sz w:val="18"/>
                <w:szCs w:val="18"/>
              </w:rPr>
              <w:t xml:space="preserve"> chosen because they had higher study quality scores than many of the other eccentric papers. The other two articles that scored a 7/10 were not chosen because one of them (Yu, 2013) had significantly different baseline pain scores between the two groups, and the other (</w:t>
            </w:r>
            <w:proofErr w:type="spellStart"/>
            <w:r>
              <w:rPr>
                <w:sz w:val="18"/>
                <w:szCs w:val="18"/>
              </w:rPr>
              <w:t>Rompe</w:t>
            </w:r>
            <w:proofErr w:type="spellEnd"/>
            <w:r>
              <w:rPr>
                <w:sz w:val="18"/>
                <w:szCs w:val="18"/>
              </w:rPr>
              <w:t>, 2009) had fewer participants in their study.</w:t>
            </w:r>
          </w:p>
          <w:p w14:paraId="750D47B0" w14:textId="6CDF21FE" w:rsidR="00930598" w:rsidRPr="009306BB" w:rsidRDefault="00930598" w:rsidP="00930598">
            <w:pPr>
              <w:numPr>
                <w:ilvl w:val="0"/>
                <w:numId w:val="12"/>
              </w:numPr>
              <w:spacing w:before="120" w:after="120"/>
              <w:rPr>
                <w:b/>
                <w:sz w:val="18"/>
                <w:szCs w:val="18"/>
              </w:rPr>
            </w:pPr>
            <w:r>
              <w:rPr>
                <w:sz w:val="18"/>
                <w:szCs w:val="18"/>
              </w:rPr>
              <w:t xml:space="preserve">The study by </w:t>
            </w:r>
            <w:proofErr w:type="spellStart"/>
            <w:r>
              <w:rPr>
                <w:sz w:val="18"/>
                <w:szCs w:val="18"/>
              </w:rPr>
              <w:t>DaCruz</w:t>
            </w:r>
            <w:proofErr w:type="spellEnd"/>
            <w:r>
              <w:rPr>
                <w:sz w:val="18"/>
                <w:szCs w:val="18"/>
              </w:rPr>
              <w:t xml:space="preserve">, et al was chosen because it was the only RCT found that discussed Achilles </w:t>
            </w:r>
            <w:proofErr w:type="spellStart"/>
            <w:r>
              <w:rPr>
                <w:sz w:val="18"/>
                <w:szCs w:val="18"/>
              </w:rPr>
              <w:t>tendonopathy</w:t>
            </w:r>
            <w:proofErr w:type="spellEnd"/>
            <w:r>
              <w:rPr>
                <w:sz w:val="18"/>
                <w:szCs w:val="18"/>
              </w:rPr>
              <w:t xml:space="preserve"> specifically. The systematic review of RCTs that was graded as the best evidence, while </w:t>
            </w:r>
            <w:r>
              <w:rPr>
                <w:sz w:val="18"/>
                <w:szCs w:val="18"/>
              </w:rPr>
              <w:lastRenderedPageBreak/>
              <w:t xml:space="preserve">demonstrating a high level of evidence (1a), primarily discussed the outcomes of steroid injections with other </w:t>
            </w:r>
            <w:proofErr w:type="spellStart"/>
            <w:r>
              <w:rPr>
                <w:sz w:val="18"/>
                <w:szCs w:val="18"/>
              </w:rPr>
              <w:t>tendinopathies</w:t>
            </w:r>
            <w:proofErr w:type="spellEnd"/>
            <w:r>
              <w:rPr>
                <w:sz w:val="18"/>
                <w:szCs w:val="18"/>
              </w:rPr>
              <w:t xml:space="preserve"> in the body (e.g. patellar </w:t>
            </w:r>
            <w:r w:rsidR="000F24E9">
              <w:rPr>
                <w:sz w:val="18"/>
                <w:szCs w:val="18"/>
              </w:rPr>
              <w:t>tendon</w:t>
            </w:r>
            <w:r>
              <w:rPr>
                <w:sz w:val="18"/>
                <w:szCs w:val="18"/>
              </w:rPr>
              <w:t>, rotator cuff tendon, lateral elbow tendon).</w:t>
            </w:r>
          </w:p>
        </w:tc>
      </w:tr>
    </w:tbl>
    <w:p w14:paraId="539C3953" w14:textId="77777777" w:rsidR="009306BB" w:rsidRDefault="009306BB" w:rsidP="0011199B">
      <w:pPr>
        <w:spacing w:before="120" w:after="120"/>
        <w:rPr>
          <w:b/>
          <w:sz w:val="18"/>
          <w:szCs w:val="18"/>
        </w:rPr>
      </w:pPr>
    </w:p>
    <w:p w14:paraId="2B4FFE3E" w14:textId="77777777" w:rsidR="009306BB" w:rsidRDefault="009306BB" w:rsidP="0011199B">
      <w:pPr>
        <w:spacing w:before="120" w:after="120"/>
        <w:rPr>
          <w:b/>
          <w:sz w:val="18"/>
          <w:szCs w:val="18"/>
        </w:rPr>
      </w:pPr>
    </w:p>
    <w:p w14:paraId="36D9693D" w14:textId="77777777" w:rsidR="009306BB" w:rsidRDefault="009306BB" w:rsidP="0011199B">
      <w:pPr>
        <w:spacing w:before="120" w:after="120"/>
        <w:rPr>
          <w:b/>
          <w:sz w:val="18"/>
          <w:szCs w:val="18"/>
        </w:rPr>
      </w:pPr>
    </w:p>
    <w:p w14:paraId="7A3946B5" w14:textId="77777777" w:rsidR="0011199B" w:rsidRDefault="001403EC" w:rsidP="0011199B">
      <w:pPr>
        <w:spacing w:before="120" w:after="120"/>
        <w:rPr>
          <w:b/>
          <w:sz w:val="18"/>
          <w:szCs w:val="18"/>
        </w:rPr>
      </w:pPr>
      <w:r w:rsidRPr="00B75AAB">
        <w:rPr>
          <w:b/>
          <w:sz w:val="18"/>
          <w:szCs w:val="18"/>
        </w:rPr>
        <w:t>SUMMARY OF BEST EVIDENCE</w:t>
      </w:r>
    </w:p>
    <w:p w14:paraId="025A8558" w14:textId="33F200C9" w:rsidR="001403EC" w:rsidRDefault="001D4F60" w:rsidP="001D4F60">
      <w:pPr>
        <w:spacing w:before="240" w:after="240"/>
        <w:rPr>
          <w:b/>
          <w:sz w:val="18"/>
          <w:szCs w:val="18"/>
        </w:rPr>
      </w:pPr>
      <w:r>
        <w:rPr>
          <w:b/>
          <w:sz w:val="18"/>
          <w:szCs w:val="18"/>
        </w:rPr>
        <w:t xml:space="preserve">(1) </w:t>
      </w:r>
      <w:r w:rsidR="00306C83">
        <w:rPr>
          <w:b/>
          <w:sz w:val="18"/>
          <w:szCs w:val="18"/>
        </w:rPr>
        <w:t xml:space="preserve">Description and appraisal of Eccentric Loading, Shock-Wave Treatment, or a Wait-and-See Policy for </w:t>
      </w:r>
      <w:proofErr w:type="spellStart"/>
      <w:r w:rsidR="00306C83">
        <w:rPr>
          <w:b/>
          <w:sz w:val="18"/>
          <w:szCs w:val="18"/>
        </w:rPr>
        <w:t>Tendinopathy</w:t>
      </w:r>
      <w:proofErr w:type="spellEnd"/>
      <w:r w:rsidR="00306C83">
        <w:rPr>
          <w:b/>
          <w:sz w:val="18"/>
          <w:szCs w:val="18"/>
        </w:rPr>
        <w:t xml:space="preserve"> of the Main Body of </w:t>
      </w:r>
      <w:proofErr w:type="spellStart"/>
      <w:r w:rsidR="00306C83">
        <w:rPr>
          <w:b/>
          <w:sz w:val="18"/>
          <w:szCs w:val="18"/>
        </w:rPr>
        <w:t>Tendo</w:t>
      </w:r>
      <w:proofErr w:type="spellEnd"/>
      <w:r w:rsidR="00306C83">
        <w:rPr>
          <w:b/>
          <w:sz w:val="18"/>
          <w:szCs w:val="18"/>
        </w:rPr>
        <w:t xml:space="preserve"> Achilles by </w:t>
      </w:r>
      <w:proofErr w:type="spellStart"/>
      <w:r w:rsidR="00306C83">
        <w:rPr>
          <w:b/>
          <w:sz w:val="18"/>
          <w:szCs w:val="18"/>
        </w:rPr>
        <w:t>Rompe</w:t>
      </w:r>
      <w:proofErr w:type="spellEnd"/>
      <w:r w:rsidR="00306C83">
        <w:rPr>
          <w:b/>
          <w:sz w:val="18"/>
          <w:szCs w:val="18"/>
        </w:rPr>
        <w:t xml:space="preserve"> JD, </w:t>
      </w:r>
      <w:proofErr w:type="spellStart"/>
      <w:r w:rsidR="00306C83">
        <w:rPr>
          <w:b/>
          <w:sz w:val="18"/>
          <w:szCs w:val="18"/>
        </w:rPr>
        <w:t>Nafe</w:t>
      </w:r>
      <w:proofErr w:type="spellEnd"/>
      <w:r w:rsidR="00306C83">
        <w:rPr>
          <w:b/>
          <w:sz w:val="18"/>
          <w:szCs w:val="18"/>
        </w:rPr>
        <w:t xml:space="preserve"> B, </w:t>
      </w:r>
      <w:proofErr w:type="spellStart"/>
      <w:r w:rsidR="00306C83">
        <w:rPr>
          <w:b/>
          <w:sz w:val="18"/>
          <w:szCs w:val="18"/>
        </w:rPr>
        <w:t>Furia</w:t>
      </w:r>
      <w:proofErr w:type="spellEnd"/>
      <w:r w:rsidR="00306C83">
        <w:rPr>
          <w:b/>
          <w:sz w:val="18"/>
          <w:szCs w:val="18"/>
        </w:rPr>
        <w:t xml:space="preserve"> JP, et al.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2E551D0" w14:textId="77777777" w:rsidTr="001D4F60">
        <w:tc>
          <w:tcPr>
            <w:tcW w:w="10421" w:type="dxa"/>
            <w:shd w:val="clear" w:color="auto" w:fill="E6E6E6"/>
          </w:tcPr>
          <w:p w14:paraId="65BA308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F8405B3" w14:textId="77777777" w:rsidTr="001D4F60">
        <w:tc>
          <w:tcPr>
            <w:tcW w:w="10421" w:type="dxa"/>
            <w:tcBorders>
              <w:bottom w:val="single" w:sz="4" w:space="0" w:color="auto"/>
            </w:tcBorders>
            <w:shd w:val="clear" w:color="auto" w:fill="auto"/>
          </w:tcPr>
          <w:p w14:paraId="75783B03" w14:textId="75E5E001" w:rsidR="001D4F60" w:rsidRPr="002F16E1" w:rsidRDefault="00306C83" w:rsidP="009E380F">
            <w:pPr>
              <w:spacing w:before="120" w:after="120"/>
              <w:rPr>
                <w:sz w:val="18"/>
                <w:szCs w:val="18"/>
              </w:rPr>
            </w:pPr>
            <w:r>
              <w:rPr>
                <w:sz w:val="18"/>
                <w:szCs w:val="18"/>
              </w:rPr>
              <w:t xml:space="preserve">The aim of this study was to determine if eccentric calf strengthening, repetitive low-level shock-wave therapy (SWT), or rest is the most effective treatment method for mid-portion Achilles </w:t>
            </w:r>
            <w:proofErr w:type="spellStart"/>
            <w:r>
              <w:rPr>
                <w:sz w:val="18"/>
                <w:szCs w:val="18"/>
              </w:rPr>
              <w:t>tendinopathy</w:t>
            </w:r>
            <w:proofErr w:type="spellEnd"/>
            <w:r>
              <w:rPr>
                <w:sz w:val="18"/>
                <w:szCs w:val="18"/>
              </w:rPr>
              <w:t xml:space="preserve"> </w:t>
            </w:r>
          </w:p>
          <w:p w14:paraId="207CD1A9" w14:textId="77777777" w:rsidR="001D4F60" w:rsidRPr="002F16E1" w:rsidRDefault="001D4F60" w:rsidP="009E380F">
            <w:pPr>
              <w:spacing w:before="120" w:after="120"/>
              <w:jc w:val="right"/>
              <w:rPr>
                <w:sz w:val="18"/>
                <w:szCs w:val="18"/>
              </w:rPr>
            </w:pPr>
          </w:p>
        </w:tc>
      </w:tr>
      <w:tr w:rsidR="001D4F60" w:rsidRPr="002F16E1" w14:paraId="3F155A94" w14:textId="77777777" w:rsidTr="001D4F60">
        <w:tc>
          <w:tcPr>
            <w:tcW w:w="10421" w:type="dxa"/>
            <w:shd w:val="clear" w:color="auto" w:fill="E6E6E6"/>
          </w:tcPr>
          <w:p w14:paraId="2006C737" w14:textId="6A8BA5E6" w:rsidR="001D4F60" w:rsidRPr="00FB0D4B" w:rsidRDefault="001D4F60" w:rsidP="00FB0D4B">
            <w:pPr>
              <w:spacing w:before="120" w:after="120"/>
              <w:jc w:val="both"/>
              <w:rPr>
                <w:b/>
                <w:sz w:val="18"/>
                <w:szCs w:val="18"/>
              </w:rPr>
            </w:pPr>
            <w:r w:rsidRPr="002F16E1">
              <w:rPr>
                <w:b/>
                <w:sz w:val="18"/>
                <w:szCs w:val="18"/>
              </w:rPr>
              <w:t>Study Design</w:t>
            </w:r>
          </w:p>
        </w:tc>
      </w:tr>
      <w:tr w:rsidR="001D4F60" w:rsidRPr="002F16E1" w14:paraId="6A73C917" w14:textId="77777777" w:rsidTr="001D4F60">
        <w:tc>
          <w:tcPr>
            <w:tcW w:w="10421" w:type="dxa"/>
            <w:tcBorders>
              <w:bottom w:val="single" w:sz="4" w:space="0" w:color="auto"/>
            </w:tcBorders>
            <w:shd w:val="clear" w:color="auto" w:fill="auto"/>
          </w:tcPr>
          <w:p w14:paraId="43088472" w14:textId="77777777" w:rsidR="00306C83" w:rsidRDefault="00306C83" w:rsidP="00306C83">
            <w:pPr>
              <w:pStyle w:val="ListParagraph"/>
              <w:numPr>
                <w:ilvl w:val="0"/>
                <w:numId w:val="15"/>
              </w:numPr>
              <w:spacing w:before="120" w:after="120"/>
              <w:rPr>
                <w:sz w:val="18"/>
                <w:szCs w:val="18"/>
              </w:rPr>
            </w:pPr>
            <w:r>
              <w:rPr>
                <w:sz w:val="18"/>
                <w:szCs w:val="18"/>
              </w:rPr>
              <w:t>Randomized controlled trial</w:t>
            </w:r>
          </w:p>
          <w:p w14:paraId="38CDEECB" w14:textId="77777777" w:rsidR="00306C83" w:rsidRDefault="00306C83" w:rsidP="00306C83">
            <w:pPr>
              <w:pStyle w:val="ListParagraph"/>
              <w:numPr>
                <w:ilvl w:val="0"/>
                <w:numId w:val="15"/>
              </w:numPr>
              <w:spacing w:before="120" w:after="120"/>
              <w:rPr>
                <w:sz w:val="18"/>
                <w:szCs w:val="18"/>
              </w:rPr>
            </w:pPr>
            <w:r>
              <w:rPr>
                <w:sz w:val="18"/>
                <w:szCs w:val="18"/>
              </w:rPr>
              <w:t xml:space="preserve">Participants were randomly assigned (block randomization in blocks of 3) using a concealed allocation method to one of three 12-week interventions and were assigned to treatment groups using a computerized random-number generator. An assistant unaware of block sizes allocated interventions using opaque sealed envelopes marked based on the allocation schedule. </w:t>
            </w:r>
          </w:p>
          <w:p w14:paraId="4F4EB25E" w14:textId="77777777" w:rsidR="00306C83" w:rsidRDefault="00306C83" w:rsidP="00306C83">
            <w:pPr>
              <w:pStyle w:val="ListParagraph"/>
              <w:numPr>
                <w:ilvl w:val="0"/>
                <w:numId w:val="15"/>
              </w:numPr>
              <w:spacing w:before="120" w:after="120"/>
              <w:rPr>
                <w:sz w:val="18"/>
                <w:szCs w:val="18"/>
              </w:rPr>
            </w:pPr>
            <w:r>
              <w:rPr>
                <w:sz w:val="18"/>
                <w:szCs w:val="18"/>
              </w:rPr>
              <w:t xml:space="preserve">The interventions were eccentric calf strengthening (n=25), SWT (n=25), and rest (n=25). </w:t>
            </w:r>
          </w:p>
          <w:p w14:paraId="55AFEF8D" w14:textId="1247BE72" w:rsidR="001D4F60" w:rsidRPr="00306C83" w:rsidRDefault="00306C83" w:rsidP="009E380F">
            <w:pPr>
              <w:pStyle w:val="ListParagraph"/>
              <w:numPr>
                <w:ilvl w:val="0"/>
                <w:numId w:val="15"/>
              </w:numPr>
              <w:spacing w:before="120" w:after="120"/>
              <w:rPr>
                <w:sz w:val="18"/>
                <w:szCs w:val="18"/>
              </w:rPr>
            </w:pPr>
            <w:r>
              <w:rPr>
                <w:sz w:val="18"/>
                <w:szCs w:val="18"/>
              </w:rPr>
              <w:t>Participants completed baseline assessment by the lead author (</w:t>
            </w:r>
            <w:proofErr w:type="spellStart"/>
            <w:r>
              <w:rPr>
                <w:sz w:val="18"/>
                <w:szCs w:val="18"/>
              </w:rPr>
              <w:t>Rompe</w:t>
            </w:r>
            <w:proofErr w:type="spellEnd"/>
            <w:r>
              <w:rPr>
                <w:sz w:val="18"/>
                <w:szCs w:val="18"/>
              </w:rPr>
              <w:t xml:space="preserve"> JD) prior to randomization. Observer-blinded outcome assessments were also performed 16 weeks after the baseline assessment. Outcome assessments were not performed immediately following the 12-week intervention because </w:t>
            </w:r>
            <w:proofErr w:type="spellStart"/>
            <w:r>
              <w:rPr>
                <w:sz w:val="18"/>
                <w:szCs w:val="18"/>
              </w:rPr>
              <w:t>midportion</w:t>
            </w:r>
            <w:proofErr w:type="spellEnd"/>
            <w:r>
              <w:rPr>
                <w:sz w:val="18"/>
                <w:szCs w:val="18"/>
              </w:rPr>
              <w:t xml:space="preserve"> Achilles pain has a </w:t>
            </w:r>
            <w:proofErr w:type="spellStart"/>
            <w:r>
              <w:rPr>
                <w:sz w:val="18"/>
                <w:szCs w:val="18"/>
              </w:rPr>
              <w:t>noninflammatory</w:t>
            </w:r>
            <w:proofErr w:type="spellEnd"/>
            <w:r>
              <w:rPr>
                <w:sz w:val="18"/>
                <w:szCs w:val="18"/>
              </w:rPr>
              <w:t xml:space="preserve"> characteristic requiring at least 4 months for collagen turnover and remodelling.</w:t>
            </w:r>
            <w:r>
              <w:rPr>
                <w:sz w:val="18"/>
                <w:szCs w:val="18"/>
                <w:vertAlign w:val="superscript"/>
              </w:rPr>
              <w:t>1</w:t>
            </w:r>
            <w:proofErr w:type="gramStart"/>
            <w:r>
              <w:rPr>
                <w:sz w:val="18"/>
                <w:szCs w:val="18"/>
                <w:vertAlign w:val="superscript"/>
              </w:rPr>
              <w:t>,4</w:t>
            </w:r>
            <w:proofErr w:type="gramEnd"/>
          </w:p>
          <w:p w14:paraId="0163BDC4" w14:textId="77777777" w:rsidR="001D4F60" w:rsidRPr="002F16E1" w:rsidRDefault="001D4F60" w:rsidP="00306C83">
            <w:pPr>
              <w:spacing w:before="120" w:after="120"/>
              <w:rPr>
                <w:sz w:val="18"/>
                <w:szCs w:val="18"/>
              </w:rPr>
            </w:pPr>
          </w:p>
        </w:tc>
      </w:tr>
      <w:tr w:rsidR="001D4F60" w:rsidRPr="002F16E1" w14:paraId="7D8DB694" w14:textId="77777777" w:rsidTr="001D4F60">
        <w:tc>
          <w:tcPr>
            <w:tcW w:w="10421" w:type="dxa"/>
            <w:shd w:val="clear" w:color="auto" w:fill="E6E6E6"/>
          </w:tcPr>
          <w:p w14:paraId="64507462" w14:textId="5F34D26D" w:rsidR="001D4F60" w:rsidRPr="00FB0D4B" w:rsidRDefault="001D4F60" w:rsidP="00FB0D4B">
            <w:pPr>
              <w:spacing w:before="120" w:after="120"/>
              <w:rPr>
                <w:b/>
                <w:sz w:val="18"/>
                <w:szCs w:val="18"/>
              </w:rPr>
            </w:pPr>
            <w:r w:rsidRPr="002F16E1">
              <w:rPr>
                <w:b/>
                <w:sz w:val="18"/>
                <w:szCs w:val="18"/>
              </w:rPr>
              <w:t>Setting</w:t>
            </w:r>
          </w:p>
        </w:tc>
      </w:tr>
      <w:tr w:rsidR="001D4F60" w:rsidRPr="002F16E1" w14:paraId="396E6534" w14:textId="77777777" w:rsidTr="001D4F60">
        <w:tc>
          <w:tcPr>
            <w:tcW w:w="10421" w:type="dxa"/>
            <w:tcBorders>
              <w:bottom w:val="single" w:sz="4" w:space="0" w:color="auto"/>
            </w:tcBorders>
            <w:shd w:val="clear" w:color="auto" w:fill="auto"/>
          </w:tcPr>
          <w:p w14:paraId="4BF31F8B" w14:textId="6561D99A" w:rsidR="001D4F60" w:rsidRPr="002F16E1" w:rsidRDefault="00306C83" w:rsidP="009E380F">
            <w:pPr>
              <w:spacing w:before="120" w:after="120"/>
              <w:rPr>
                <w:sz w:val="18"/>
                <w:szCs w:val="18"/>
              </w:rPr>
            </w:pPr>
            <w:r>
              <w:rPr>
                <w:sz w:val="18"/>
                <w:szCs w:val="18"/>
              </w:rPr>
              <w:t xml:space="preserve">Participants were diagnosed with Achilles </w:t>
            </w:r>
            <w:proofErr w:type="spellStart"/>
            <w:r>
              <w:rPr>
                <w:sz w:val="18"/>
                <w:szCs w:val="18"/>
              </w:rPr>
              <w:t>tendonopathy</w:t>
            </w:r>
            <w:proofErr w:type="spellEnd"/>
            <w:r>
              <w:rPr>
                <w:sz w:val="18"/>
                <w:szCs w:val="18"/>
              </w:rPr>
              <w:t xml:space="preserve"> by one of 3 orthopaedic physicians involved in the study in a primary care setting. After diagnosis, the participants were then referred to the primary care clinic of the lead author in this study. The lead author practices at an </w:t>
            </w:r>
            <w:proofErr w:type="spellStart"/>
            <w:r>
              <w:rPr>
                <w:sz w:val="18"/>
                <w:szCs w:val="18"/>
              </w:rPr>
              <w:t>OrthoTrauma</w:t>
            </w:r>
            <w:proofErr w:type="spellEnd"/>
            <w:r>
              <w:rPr>
                <w:sz w:val="18"/>
                <w:szCs w:val="18"/>
              </w:rPr>
              <w:t xml:space="preserve"> Clinic in </w:t>
            </w:r>
            <w:proofErr w:type="spellStart"/>
            <w:r>
              <w:rPr>
                <w:sz w:val="18"/>
                <w:szCs w:val="18"/>
              </w:rPr>
              <w:t>Gruenstadt</w:t>
            </w:r>
            <w:proofErr w:type="spellEnd"/>
            <w:r>
              <w:rPr>
                <w:sz w:val="18"/>
                <w:szCs w:val="18"/>
              </w:rPr>
              <w:t xml:space="preserve">, Germany, which is where participants received treatment. </w:t>
            </w:r>
          </w:p>
          <w:p w14:paraId="490E01F8" w14:textId="77777777" w:rsidR="001D4F60" w:rsidRPr="002F16E1" w:rsidRDefault="001D4F60" w:rsidP="009E380F">
            <w:pPr>
              <w:spacing w:before="120" w:after="120"/>
              <w:jc w:val="right"/>
              <w:rPr>
                <w:sz w:val="18"/>
                <w:szCs w:val="18"/>
              </w:rPr>
            </w:pPr>
          </w:p>
        </w:tc>
      </w:tr>
      <w:tr w:rsidR="001D4F60" w:rsidRPr="002F16E1" w14:paraId="63A18EED" w14:textId="77777777" w:rsidTr="001D4F60">
        <w:tc>
          <w:tcPr>
            <w:tcW w:w="10421" w:type="dxa"/>
            <w:shd w:val="clear" w:color="auto" w:fill="E6E6E6"/>
          </w:tcPr>
          <w:p w14:paraId="060AB3D4" w14:textId="3BB81B5F" w:rsidR="001D4F60" w:rsidRPr="00FB0D4B" w:rsidRDefault="001D4F60" w:rsidP="009E380F">
            <w:pPr>
              <w:spacing w:before="120" w:after="120"/>
              <w:rPr>
                <w:b/>
                <w:sz w:val="18"/>
                <w:szCs w:val="18"/>
              </w:rPr>
            </w:pPr>
            <w:r w:rsidRPr="002F16E1">
              <w:rPr>
                <w:b/>
                <w:sz w:val="18"/>
                <w:szCs w:val="18"/>
              </w:rPr>
              <w:t>Participants</w:t>
            </w:r>
          </w:p>
        </w:tc>
      </w:tr>
      <w:tr w:rsidR="001D4F60" w:rsidRPr="002F16E1" w14:paraId="4D577B5E" w14:textId="77777777" w:rsidTr="001D4F60">
        <w:tc>
          <w:tcPr>
            <w:tcW w:w="10421" w:type="dxa"/>
            <w:tcBorders>
              <w:bottom w:val="single" w:sz="4" w:space="0" w:color="auto"/>
            </w:tcBorders>
            <w:shd w:val="clear" w:color="auto" w:fill="auto"/>
          </w:tcPr>
          <w:p w14:paraId="1E087DF2" w14:textId="77777777" w:rsidR="00306C83" w:rsidRPr="004E1893" w:rsidRDefault="00306C83" w:rsidP="00306C83">
            <w:pPr>
              <w:pStyle w:val="ListParagraph"/>
              <w:numPr>
                <w:ilvl w:val="0"/>
                <w:numId w:val="16"/>
              </w:numPr>
              <w:spacing w:before="120" w:after="120"/>
              <w:rPr>
                <w:sz w:val="18"/>
                <w:szCs w:val="18"/>
              </w:rPr>
            </w:pPr>
            <w:r>
              <w:rPr>
                <w:sz w:val="18"/>
                <w:szCs w:val="18"/>
              </w:rPr>
              <w:t xml:space="preserve">To be included in the study the participants had to be aged 18-70 years. This study included </w:t>
            </w:r>
            <w:r w:rsidRPr="004E1893">
              <w:rPr>
                <w:sz w:val="18"/>
                <w:szCs w:val="18"/>
              </w:rPr>
              <w:t xml:space="preserve">75 patients, 46 females and 29 males, with a diagnosis of chronic </w:t>
            </w:r>
            <w:proofErr w:type="spellStart"/>
            <w:r w:rsidRPr="004E1893">
              <w:rPr>
                <w:sz w:val="18"/>
                <w:szCs w:val="18"/>
              </w:rPr>
              <w:t>midportion</w:t>
            </w:r>
            <w:proofErr w:type="spellEnd"/>
            <w:r w:rsidRPr="004E1893">
              <w:rPr>
                <w:sz w:val="18"/>
                <w:szCs w:val="18"/>
              </w:rPr>
              <w:t xml:space="preserve"> (</w:t>
            </w:r>
            <w:proofErr w:type="spellStart"/>
            <w:r w:rsidRPr="004E1893">
              <w:rPr>
                <w:sz w:val="18"/>
                <w:szCs w:val="18"/>
              </w:rPr>
              <w:t>noninsertional</w:t>
            </w:r>
            <w:proofErr w:type="spellEnd"/>
            <w:r w:rsidRPr="004E1893">
              <w:rPr>
                <w:sz w:val="18"/>
                <w:szCs w:val="18"/>
              </w:rPr>
              <w:t xml:space="preserve">) Achilles </w:t>
            </w:r>
            <w:proofErr w:type="spellStart"/>
            <w:r w:rsidRPr="004E1893">
              <w:rPr>
                <w:sz w:val="18"/>
                <w:szCs w:val="18"/>
              </w:rPr>
              <w:t>tendinopathy</w:t>
            </w:r>
            <w:proofErr w:type="spellEnd"/>
            <w:r w:rsidRPr="004E1893">
              <w:rPr>
                <w:sz w:val="18"/>
                <w:szCs w:val="18"/>
              </w:rPr>
              <w:t>. Eccentric training group (n=25)</w:t>
            </w:r>
            <w:r>
              <w:rPr>
                <w:sz w:val="18"/>
                <w:szCs w:val="18"/>
              </w:rPr>
              <w:t>: mean age 48.1, SD 9.9. Shock-wave therapy group (n=25): mean age 51.2, SD 10.3. Rest group (n=25): mean age 46.4, SD 11.4.</w:t>
            </w:r>
            <w:r w:rsidRPr="004E1893">
              <w:rPr>
                <w:sz w:val="18"/>
                <w:szCs w:val="18"/>
              </w:rPr>
              <w:t xml:space="preserve"> </w:t>
            </w:r>
          </w:p>
          <w:p w14:paraId="46D46748" w14:textId="77777777" w:rsidR="00306C83" w:rsidRDefault="00306C83" w:rsidP="00306C83">
            <w:pPr>
              <w:pStyle w:val="ListParagraph"/>
              <w:numPr>
                <w:ilvl w:val="0"/>
                <w:numId w:val="16"/>
              </w:numPr>
              <w:spacing w:before="120" w:after="120"/>
              <w:rPr>
                <w:sz w:val="18"/>
                <w:szCs w:val="18"/>
              </w:rPr>
            </w:pPr>
            <w:r>
              <w:rPr>
                <w:sz w:val="18"/>
                <w:szCs w:val="18"/>
              </w:rPr>
              <w:t xml:space="preserve">Participants were eligible if they demonstrated local thickening of the tendon and/or irregular tendon structure with </w:t>
            </w:r>
            <w:proofErr w:type="spellStart"/>
            <w:r>
              <w:rPr>
                <w:sz w:val="18"/>
                <w:szCs w:val="18"/>
              </w:rPr>
              <w:t>hypoechoic</w:t>
            </w:r>
            <w:proofErr w:type="spellEnd"/>
            <w:r>
              <w:rPr>
                <w:sz w:val="18"/>
                <w:szCs w:val="18"/>
              </w:rPr>
              <w:t xml:space="preserve"> areas and/or irregular tendon </w:t>
            </w:r>
            <w:proofErr w:type="spellStart"/>
            <w:r>
              <w:rPr>
                <w:sz w:val="18"/>
                <w:szCs w:val="18"/>
              </w:rPr>
              <w:t>fiber</w:t>
            </w:r>
            <w:proofErr w:type="spellEnd"/>
            <w:r>
              <w:rPr>
                <w:sz w:val="18"/>
                <w:szCs w:val="18"/>
              </w:rPr>
              <w:t xml:space="preserve"> orientation via ultrasound. </w:t>
            </w:r>
          </w:p>
          <w:p w14:paraId="5D8B221A" w14:textId="77777777" w:rsidR="00306C83" w:rsidRDefault="00306C83" w:rsidP="00306C83">
            <w:pPr>
              <w:pStyle w:val="ListParagraph"/>
              <w:numPr>
                <w:ilvl w:val="0"/>
                <w:numId w:val="16"/>
              </w:numPr>
              <w:spacing w:before="120" w:after="120"/>
              <w:rPr>
                <w:sz w:val="18"/>
                <w:szCs w:val="18"/>
              </w:rPr>
            </w:pPr>
            <w:r>
              <w:rPr>
                <w:sz w:val="18"/>
                <w:szCs w:val="18"/>
              </w:rPr>
              <w:t xml:space="preserve">Symptoms of chronic </w:t>
            </w:r>
            <w:proofErr w:type="spellStart"/>
            <w:r>
              <w:rPr>
                <w:sz w:val="18"/>
                <w:szCs w:val="18"/>
              </w:rPr>
              <w:t>midportion</w:t>
            </w:r>
            <w:proofErr w:type="spellEnd"/>
            <w:r>
              <w:rPr>
                <w:sz w:val="18"/>
                <w:szCs w:val="18"/>
              </w:rPr>
              <w:t xml:space="preserve"> Achilles </w:t>
            </w:r>
            <w:proofErr w:type="spellStart"/>
            <w:r>
              <w:rPr>
                <w:sz w:val="18"/>
                <w:szCs w:val="18"/>
              </w:rPr>
              <w:t>tendinopathy</w:t>
            </w:r>
            <w:proofErr w:type="spellEnd"/>
            <w:r>
              <w:rPr>
                <w:sz w:val="18"/>
                <w:szCs w:val="18"/>
              </w:rPr>
              <w:t xml:space="preserve"> were present in all participants for at least 6 months (mean duration of symptoms in included participants: 10.8 months). Furthermore, all participants had previously received unsuccessful </w:t>
            </w:r>
            <w:proofErr w:type="spellStart"/>
            <w:r>
              <w:rPr>
                <w:sz w:val="18"/>
                <w:szCs w:val="18"/>
              </w:rPr>
              <w:t>nonoperative</w:t>
            </w:r>
            <w:proofErr w:type="spellEnd"/>
            <w:r>
              <w:rPr>
                <w:sz w:val="18"/>
                <w:szCs w:val="18"/>
              </w:rPr>
              <w:t xml:space="preserve"> treatment for greater than 3 months.</w:t>
            </w:r>
          </w:p>
          <w:p w14:paraId="3DA81D55" w14:textId="77777777" w:rsidR="00306C83" w:rsidRPr="00DA40E8" w:rsidRDefault="00306C83" w:rsidP="00306C83">
            <w:pPr>
              <w:pStyle w:val="ListParagraph"/>
              <w:numPr>
                <w:ilvl w:val="0"/>
                <w:numId w:val="16"/>
              </w:numPr>
              <w:spacing w:before="120" w:after="120"/>
              <w:rPr>
                <w:sz w:val="18"/>
                <w:szCs w:val="18"/>
              </w:rPr>
            </w:pPr>
            <w:r>
              <w:rPr>
                <w:sz w:val="18"/>
                <w:szCs w:val="18"/>
              </w:rPr>
              <w:t xml:space="preserve">A </w:t>
            </w:r>
            <w:proofErr w:type="spellStart"/>
            <w:r>
              <w:rPr>
                <w:sz w:val="18"/>
                <w:szCs w:val="18"/>
              </w:rPr>
              <w:t>nonprobabilistic</w:t>
            </w:r>
            <w:proofErr w:type="spellEnd"/>
            <w:r>
              <w:rPr>
                <w:sz w:val="18"/>
                <w:szCs w:val="18"/>
              </w:rPr>
              <w:t xml:space="preserve"> sampling method was used - purposive. </w:t>
            </w:r>
          </w:p>
          <w:p w14:paraId="757A1034" w14:textId="77777777" w:rsidR="00306C83" w:rsidRPr="006A2C7F" w:rsidRDefault="00306C83" w:rsidP="00306C83">
            <w:pPr>
              <w:pStyle w:val="ListParagraph"/>
              <w:numPr>
                <w:ilvl w:val="0"/>
                <w:numId w:val="16"/>
              </w:numPr>
              <w:spacing w:before="120" w:after="120"/>
              <w:rPr>
                <w:sz w:val="18"/>
                <w:szCs w:val="18"/>
              </w:rPr>
            </w:pPr>
            <w:r>
              <w:rPr>
                <w:sz w:val="18"/>
                <w:szCs w:val="18"/>
              </w:rPr>
              <w:t xml:space="preserve">Participants were recruited by one of 3 participating orthopaedic physicians who identified their patient as having Achilles tendon complaints. The physician then referred their patient to the clinic of the lead author to be evaluated. The lead author then decided if the patient was eligible.  </w:t>
            </w:r>
          </w:p>
          <w:p w14:paraId="66CCA249" w14:textId="77777777" w:rsidR="00306C83" w:rsidRDefault="00306C83" w:rsidP="00306C83">
            <w:pPr>
              <w:pStyle w:val="ListParagraph"/>
              <w:numPr>
                <w:ilvl w:val="0"/>
                <w:numId w:val="16"/>
              </w:numPr>
              <w:spacing w:before="120" w:after="120"/>
              <w:rPr>
                <w:sz w:val="18"/>
                <w:szCs w:val="18"/>
              </w:rPr>
            </w:pPr>
            <w:r>
              <w:rPr>
                <w:sz w:val="18"/>
                <w:szCs w:val="18"/>
              </w:rPr>
              <w:t>All three groups were comparable at baseline based on key demographic variables.</w:t>
            </w:r>
          </w:p>
          <w:p w14:paraId="537AAD0D" w14:textId="77777777" w:rsidR="00306C83" w:rsidRPr="00D00F55" w:rsidRDefault="00306C83" w:rsidP="00306C83">
            <w:pPr>
              <w:pStyle w:val="ListParagraph"/>
              <w:numPr>
                <w:ilvl w:val="0"/>
                <w:numId w:val="16"/>
              </w:numPr>
              <w:spacing w:before="120" w:after="120"/>
              <w:rPr>
                <w:sz w:val="18"/>
                <w:szCs w:val="18"/>
              </w:rPr>
            </w:pPr>
            <w:r>
              <w:rPr>
                <w:sz w:val="18"/>
                <w:szCs w:val="18"/>
              </w:rPr>
              <w:t>5 patients were lost to follow-up leaving 70 patients available for follow-up.</w:t>
            </w:r>
          </w:p>
          <w:p w14:paraId="39EEB579" w14:textId="77777777" w:rsidR="001D4F60" w:rsidRDefault="001D4F60" w:rsidP="00306C83">
            <w:pPr>
              <w:spacing w:before="120" w:after="120"/>
              <w:rPr>
                <w:sz w:val="18"/>
                <w:szCs w:val="18"/>
              </w:rPr>
            </w:pPr>
          </w:p>
          <w:p w14:paraId="15B4B229" w14:textId="77777777" w:rsidR="00FB0D4B" w:rsidRDefault="00FB0D4B" w:rsidP="00306C83">
            <w:pPr>
              <w:spacing w:before="120" w:after="120"/>
              <w:rPr>
                <w:sz w:val="18"/>
                <w:szCs w:val="18"/>
              </w:rPr>
            </w:pPr>
          </w:p>
          <w:p w14:paraId="50238225" w14:textId="77777777" w:rsidR="00FB0D4B" w:rsidRDefault="00FB0D4B" w:rsidP="00306C83">
            <w:pPr>
              <w:spacing w:before="120" w:after="120"/>
              <w:rPr>
                <w:sz w:val="18"/>
                <w:szCs w:val="18"/>
              </w:rPr>
            </w:pPr>
          </w:p>
          <w:p w14:paraId="1B6D5B62" w14:textId="77777777" w:rsidR="00FB0D4B" w:rsidRPr="002F16E1" w:rsidRDefault="00FB0D4B" w:rsidP="00306C83">
            <w:pPr>
              <w:spacing w:before="120" w:after="120"/>
              <w:rPr>
                <w:sz w:val="18"/>
                <w:szCs w:val="18"/>
              </w:rPr>
            </w:pPr>
          </w:p>
        </w:tc>
      </w:tr>
      <w:tr w:rsidR="001D4F60" w:rsidRPr="002F16E1" w14:paraId="3974EF22" w14:textId="77777777" w:rsidTr="001D4F60">
        <w:tc>
          <w:tcPr>
            <w:tcW w:w="10421" w:type="dxa"/>
            <w:shd w:val="clear" w:color="auto" w:fill="E6E6E6"/>
          </w:tcPr>
          <w:p w14:paraId="09BD2D06" w14:textId="6C920C4C" w:rsidR="001D4F60" w:rsidRPr="00FB0D4B"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5E37A9EB" w14:textId="77777777" w:rsidTr="001D4F60">
        <w:tc>
          <w:tcPr>
            <w:tcW w:w="10421" w:type="dxa"/>
            <w:shd w:val="clear" w:color="auto" w:fill="auto"/>
          </w:tcPr>
          <w:p w14:paraId="5606CEC8" w14:textId="79F7189C" w:rsidR="001D4F60" w:rsidRPr="002F16E1" w:rsidRDefault="001D4F60" w:rsidP="009E380F">
            <w:pPr>
              <w:spacing w:before="120" w:after="120"/>
              <w:rPr>
                <w:i/>
                <w:sz w:val="18"/>
                <w:szCs w:val="18"/>
              </w:rPr>
            </w:pPr>
            <w:r w:rsidRPr="002F16E1">
              <w:rPr>
                <w:i/>
                <w:sz w:val="18"/>
                <w:szCs w:val="18"/>
              </w:rPr>
              <w:t>Control</w:t>
            </w:r>
            <w:r w:rsidR="00306C83">
              <w:rPr>
                <w:i/>
                <w:sz w:val="18"/>
                <w:szCs w:val="18"/>
              </w:rPr>
              <w:t xml:space="preserve"> – Rest group</w:t>
            </w:r>
          </w:p>
        </w:tc>
      </w:tr>
      <w:tr w:rsidR="001D4F60" w:rsidRPr="002F16E1" w14:paraId="78AEEF94" w14:textId="77777777" w:rsidTr="001D4F60">
        <w:tc>
          <w:tcPr>
            <w:tcW w:w="10421" w:type="dxa"/>
            <w:shd w:val="clear" w:color="auto" w:fill="auto"/>
          </w:tcPr>
          <w:p w14:paraId="0BA9BFAD" w14:textId="77777777" w:rsidR="00306C83" w:rsidRPr="008A26B7" w:rsidRDefault="00306C83" w:rsidP="00306C83">
            <w:pPr>
              <w:pStyle w:val="ListParagraph"/>
              <w:numPr>
                <w:ilvl w:val="0"/>
                <w:numId w:val="15"/>
              </w:numPr>
              <w:spacing w:before="120" w:after="120"/>
              <w:rPr>
                <w:sz w:val="18"/>
                <w:szCs w:val="18"/>
              </w:rPr>
            </w:pPr>
            <w:r w:rsidRPr="00AE24B3">
              <w:rPr>
                <w:b/>
                <w:sz w:val="18"/>
                <w:szCs w:val="18"/>
              </w:rPr>
              <w:t>Rest group</w:t>
            </w:r>
            <w:r>
              <w:rPr>
                <w:b/>
                <w:sz w:val="18"/>
                <w:szCs w:val="18"/>
              </w:rPr>
              <w:t xml:space="preserve"> (RG)</w:t>
            </w:r>
            <w:r w:rsidRPr="00AE24B3">
              <w:rPr>
                <w:b/>
                <w:sz w:val="18"/>
                <w:szCs w:val="18"/>
              </w:rPr>
              <w:t>:</w:t>
            </w:r>
            <w:r>
              <w:rPr>
                <w:sz w:val="18"/>
                <w:szCs w:val="18"/>
              </w:rPr>
              <w:t xml:space="preserve"> </w:t>
            </w:r>
          </w:p>
          <w:p w14:paraId="0A2B1190" w14:textId="77777777" w:rsidR="00306C83" w:rsidRDefault="00306C83" w:rsidP="00306C83">
            <w:pPr>
              <w:pStyle w:val="ListParagraph"/>
              <w:numPr>
                <w:ilvl w:val="0"/>
                <w:numId w:val="15"/>
              </w:numPr>
              <w:spacing w:before="120" w:after="120"/>
              <w:rPr>
                <w:sz w:val="18"/>
                <w:szCs w:val="18"/>
              </w:rPr>
            </w:pPr>
            <w:proofErr w:type="gramStart"/>
            <w:r>
              <w:rPr>
                <w:sz w:val="18"/>
                <w:szCs w:val="18"/>
              </w:rPr>
              <w:t>Patients were seen once more by their orthopaedic physician</w:t>
            </w:r>
            <w:proofErr w:type="gramEnd"/>
            <w:r>
              <w:rPr>
                <w:sz w:val="18"/>
                <w:szCs w:val="18"/>
              </w:rPr>
              <w:t xml:space="preserve"> during the 12-week intervention period.</w:t>
            </w:r>
          </w:p>
          <w:p w14:paraId="314D8041" w14:textId="77777777" w:rsidR="00306C83" w:rsidRDefault="00306C83" w:rsidP="00306C83">
            <w:pPr>
              <w:pStyle w:val="ListParagraph"/>
              <w:numPr>
                <w:ilvl w:val="0"/>
                <w:numId w:val="15"/>
              </w:numPr>
              <w:spacing w:before="120" w:after="120"/>
              <w:rPr>
                <w:sz w:val="18"/>
                <w:szCs w:val="18"/>
              </w:rPr>
            </w:pPr>
            <w:r>
              <w:rPr>
                <w:sz w:val="18"/>
                <w:szCs w:val="18"/>
              </w:rPr>
              <w:t>Modification of training, basic ergonomic advice, and stretching exercises were discussed with patient.</w:t>
            </w:r>
          </w:p>
          <w:p w14:paraId="053E0746" w14:textId="77777777" w:rsidR="00306C83" w:rsidRDefault="00306C83" w:rsidP="00306C83">
            <w:pPr>
              <w:pStyle w:val="ListParagraph"/>
              <w:numPr>
                <w:ilvl w:val="0"/>
                <w:numId w:val="15"/>
              </w:numPr>
              <w:spacing w:before="120" w:after="120"/>
              <w:rPr>
                <w:sz w:val="18"/>
                <w:szCs w:val="18"/>
              </w:rPr>
            </w:pPr>
            <w:r>
              <w:rPr>
                <w:sz w:val="18"/>
                <w:szCs w:val="18"/>
              </w:rPr>
              <w:t>Medication was prescribed if patient required it for pain.</w:t>
            </w:r>
          </w:p>
          <w:p w14:paraId="25DFF365" w14:textId="287BFAF7" w:rsidR="001D4F60" w:rsidRPr="00306C83" w:rsidRDefault="00306C83" w:rsidP="009E380F">
            <w:pPr>
              <w:pStyle w:val="ListParagraph"/>
              <w:numPr>
                <w:ilvl w:val="0"/>
                <w:numId w:val="15"/>
              </w:numPr>
              <w:spacing w:before="120" w:after="120"/>
              <w:rPr>
                <w:sz w:val="18"/>
                <w:szCs w:val="18"/>
              </w:rPr>
            </w:pPr>
            <w:r>
              <w:rPr>
                <w:sz w:val="18"/>
                <w:szCs w:val="18"/>
              </w:rPr>
              <w:t>Patients were instructed to wait for spontaneous recovery.</w:t>
            </w:r>
          </w:p>
          <w:p w14:paraId="1B892DCE" w14:textId="77777777" w:rsidR="001D4F60" w:rsidRPr="002F16E1" w:rsidRDefault="001D4F60" w:rsidP="009E380F">
            <w:pPr>
              <w:spacing w:before="120" w:after="120"/>
              <w:rPr>
                <w:sz w:val="18"/>
                <w:szCs w:val="18"/>
              </w:rPr>
            </w:pPr>
          </w:p>
        </w:tc>
      </w:tr>
      <w:tr w:rsidR="001D4F60" w:rsidRPr="002F16E1" w14:paraId="6942F287" w14:textId="77777777" w:rsidTr="001D4F60">
        <w:tc>
          <w:tcPr>
            <w:tcW w:w="10421" w:type="dxa"/>
            <w:shd w:val="clear" w:color="auto" w:fill="auto"/>
          </w:tcPr>
          <w:p w14:paraId="6A2A065C" w14:textId="79D39241" w:rsidR="001D4F60" w:rsidRPr="002F16E1" w:rsidRDefault="001D4F60" w:rsidP="009E380F">
            <w:pPr>
              <w:spacing w:before="120" w:after="120"/>
              <w:rPr>
                <w:i/>
                <w:sz w:val="18"/>
                <w:szCs w:val="18"/>
              </w:rPr>
            </w:pPr>
            <w:r w:rsidRPr="002F16E1">
              <w:rPr>
                <w:i/>
                <w:sz w:val="18"/>
                <w:szCs w:val="18"/>
              </w:rPr>
              <w:t>Experimental</w:t>
            </w:r>
            <w:r w:rsidR="00306C83">
              <w:rPr>
                <w:i/>
                <w:sz w:val="18"/>
                <w:szCs w:val="18"/>
              </w:rPr>
              <w:t xml:space="preserve"> – eccentric group and shock-wave therapy group</w:t>
            </w:r>
          </w:p>
        </w:tc>
      </w:tr>
      <w:tr w:rsidR="001D4F60" w:rsidRPr="002F16E1" w14:paraId="549EA4AA" w14:textId="77777777" w:rsidTr="001D4F60">
        <w:tc>
          <w:tcPr>
            <w:tcW w:w="10421" w:type="dxa"/>
            <w:tcBorders>
              <w:bottom w:val="single" w:sz="4" w:space="0" w:color="auto"/>
            </w:tcBorders>
            <w:shd w:val="clear" w:color="auto" w:fill="auto"/>
          </w:tcPr>
          <w:p w14:paraId="07CB9B4D" w14:textId="77777777" w:rsidR="00306C83" w:rsidRDefault="00306C83" w:rsidP="00306C83">
            <w:pPr>
              <w:pStyle w:val="ListParagraph"/>
              <w:numPr>
                <w:ilvl w:val="0"/>
                <w:numId w:val="15"/>
              </w:numPr>
              <w:spacing w:before="120" w:after="120"/>
              <w:rPr>
                <w:sz w:val="18"/>
                <w:szCs w:val="18"/>
              </w:rPr>
            </w:pPr>
            <w:r w:rsidRPr="00AE24B3">
              <w:rPr>
                <w:b/>
                <w:sz w:val="18"/>
                <w:szCs w:val="18"/>
              </w:rPr>
              <w:t>Eccentric group</w:t>
            </w:r>
            <w:r>
              <w:rPr>
                <w:b/>
                <w:sz w:val="18"/>
                <w:szCs w:val="18"/>
              </w:rPr>
              <w:t xml:space="preserve"> (EG)</w:t>
            </w:r>
            <w:r w:rsidRPr="00AE24B3">
              <w:rPr>
                <w:b/>
                <w:sz w:val="18"/>
                <w:szCs w:val="18"/>
              </w:rPr>
              <w:t>:</w:t>
            </w:r>
            <w:r>
              <w:rPr>
                <w:sz w:val="18"/>
                <w:szCs w:val="18"/>
              </w:rPr>
              <w:t xml:space="preserve"> </w:t>
            </w:r>
          </w:p>
          <w:p w14:paraId="29119345" w14:textId="77777777" w:rsidR="00306C83" w:rsidRDefault="00306C83" w:rsidP="00306C83">
            <w:pPr>
              <w:pStyle w:val="ListParagraph"/>
              <w:numPr>
                <w:ilvl w:val="0"/>
                <w:numId w:val="15"/>
              </w:numPr>
              <w:spacing w:before="120" w:after="120"/>
              <w:rPr>
                <w:sz w:val="18"/>
                <w:szCs w:val="18"/>
              </w:rPr>
            </w:pPr>
            <w:r>
              <w:rPr>
                <w:sz w:val="18"/>
                <w:szCs w:val="18"/>
              </w:rPr>
              <w:t xml:space="preserve">The lead author demonstrated the eccentric loading exercise program to each patient and each patient was given a written manual on how to progress. </w:t>
            </w:r>
          </w:p>
          <w:p w14:paraId="224B7DAF" w14:textId="77777777" w:rsidR="00306C83" w:rsidRDefault="00306C83" w:rsidP="00306C83">
            <w:pPr>
              <w:pStyle w:val="ListParagraph"/>
              <w:numPr>
                <w:ilvl w:val="0"/>
                <w:numId w:val="15"/>
              </w:numPr>
              <w:spacing w:before="120" w:after="120"/>
              <w:rPr>
                <w:sz w:val="18"/>
                <w:szCs w:val="18"/>
              </w:rPr>
            </w:pPr>
            <w:r>
              <w:rPr>
                <w:sz w:val="18"/>
                <w:szCs w:val="18"/>
              </w:rPr>
              <w:t xml:space="preserve">Eccentric loading was performed standing upright on a step with full body weight on the forefoot of the affected leg. The starting position was full </w:t>
            </w:r>
            <w:proofErr w:type="spellStart"/>
            <w:r>
              <w:rPr>
                <w:sz w:val="18"/>
                <w:szCs w:val="18"/>
              </w:rPr>
              <w:t>plantarflexion</w:t>
            </w:r>
            <w:proofErr w:type="spellEnd"/>
            <w:r>
              <w:rPr>
                <w:sz w:val="18"/>
                <w:szCs w:val="18"/>
              </w:rPr>
              <w:t xml:space="preserve"> of the ankle, and then the calf was loaded by lowering the affected limb into full dorsiflexion. They were to return to full </w:t>
            </w:r>
            <w:proofErr w:type="spellStart"/>
            <w:r>
              <w:rPr>
                <w:sz w:val="18"/>
                <w:szCs w:val="18"/>
              </w:rPr>
              <w:t>plantarflexion</w:t>
            </w:r>
            <w:proofErr w:type="spellEnd"/>
            <w:r>
              <w:rPr>
                <w:sz w:val="18"/>
                <w:szCs w:val="18"/>
              </w:rPr>
              <w:t xml:space="preserve"> of the affected leg by using their unaffected leg and upper extremities, ensuring no concentric loading was performed. </w:t>
            </w:r>
          </w:p>
          <w:p w14:paraId="45215E38" w14:textId="77777777" w:rsidR="00306C83" w:rsidRDefault="00306C83" w:rsidP="00306C83">
            <w:pPr>
              <w:pStyle w:val="ListParagraph"/>
              <w:numPr>
                <w:ilvl w:val="0"/>
                <w:numId w:val="15"/>
              </w:numPr>
              <w:spacing w:before="120" w:after="120"/>
              <w:rPr>
                <w:sz w:val="18"/>
                <w:szCs w:val="18"/>
              </w:rPr>
            </w:pPr>
            <w:r>
              <w:rPr>
                <w:sz w:val="18"/>
                <w:szCs w:val="18"/>
              </w:rPr>
              <w:t xml:space="preserve">Exercises were performed with the knee in full extension to eccentrically load the gastrocnemius, as well as partially flexed to eccentrically load the soleus. The goal was to complete 3 sets of 15 with a 1-minute rest between sets, 2 times per day, 7 days per week for 12 weeks. </w:t>
            </w:r>
          </w:p>
          <w:p w14:paraId="2C28544D" w14:textId="77777777" w:rsidR="00306C83" w:rsidRDefault="00306C83" w:rsidP="00306C83">
            <w:pPr>
              <w:pStyle w:val="ListParagraph"/>
              <w:numPr>
                <w:ilvl w:val="0"/>
                <w:numId w:val="15"/>
              </w:numPr>
              <w:spacing w:before="120" w:after="120"/>
              <w:rPr>
                <w:sz w:val="18"/>
                <w:szCs w:val="18"/>
              </w:rPr>
            </w:pPr>
            <w:r>
              <w:rPr>
                <w:sz w:val="18"/>
                <w:szCs w:val="18"/>
              </w:rPr>
              <w:t xml:space="preserve">Patients were encouraged to continue exercises if they experienced mild or moderate pain, but to discontinue if the pain was unbearable. </w:t>
            </w:r>
          </w:p>
          <w:p w14:paraId="2236CC2A" w14:textId="77777777" w:rsidR="00306C83" w:rsidRDefault="00306C83" w:rsidP="00306C83">
            <w:pPr>
              <w:pStyle w:val="ListParagraph"/>
              <w:numPr>
                <w:ilvl w:val="0"/>
                <w:numId w:val="15"/>
              </w:numPr>
              <w:spacing w:before="120" w:after="120"/>
              <w:rPr>
                <w:sz w:val="18"/>
                <w:szCs w:val="18"/>
              </w:rPr>
            </w:pPr>
            <w:r>
              <w:rPr>
                <w:sz w:val="18"/>
                <w:szCs w:val="18"/>
              </w:rPr>
              <w:t>Initially, the patient eccentrically loaded the calf with only their body weight. If the patient reported no pain at the end of the third set of body weight loading, they were to progress by adding a 5 kg book bag. Patients were instructed to continue adding weight in multiples of 5 kg if they reported no pain at the end of the third set.</w:t>
            </w:r>
          </w:p>
          <w:p w14:paraId="2B4337F5" w14:textId="77777777" w:rsidR="00306C83" w:rsidRDefault="00306C83" w:rsidP="00306C83">
            <w:pPr>
              <w:pStyle w:val="ListParagraph"/>
              <w:numPr>
                <w:ilvl w:val="0"/>
                <w:numId w:val="15"/>
              </w:numPr>
              <w:spacing w:before="120" w:after="120"/>
              <w:rPr>
                <w:sz w:val="18"/>
                <w:szCs w:val="18"/>
              </w:rPr>
            </w:pPr>
            <w:r>
              <w:rPr>
                <w:sz w:val="18"/>
                <w:szCs w:val="18"/>
              </w:rPr>
              <w:t>An assistant reassessed each patient after 6 weeks to ensure proper form/technique of the intervention.</w:t>
            </w:r>
          </w:p>
          <w:p w14:paraId="4CC67D88" w14:textId="77777777" w:rsidR="00306C83" w:rsidRDefault="00306C83" w:rsidP="00306C83">
            <w:pPr>
              <w:pStyle w:val="ListParagraph"/>
              <w:spacing w:before="120" w:after="120"/>
              <w:rPr>
                <w:sz w:val="18"/>
                <w:szCs w:val="18"/>
              </w:rPr>
            </w:pPr>
          </w:p>
          <w:p w14:paraId="75CAA7D7" w14:textId="77777777" w:rsidR="00306C83" w:rsidRDefault="00306C83" w:rsidP="00306C83">
            <w:pPr>
              <w:pStyle w:val="ListParagraph"/>
              <w:numPr>
                <w:ilvl w:val="0"/>
                <w:numId w:val="15"/>
              </w:numPr>
              <w:spacing w:before="120" w:after="120"/>
              <w:rPr>
                <w:sz w:val="18"/>
                <w:szCs w:val="18"/>
              </w:rPr>
            </w:pPr>
            <w:r>
              <w:rPr>
                <w:b/>
                <w:sz w:val="18"/>
                <w:szCs w:val="18"/>
              </w:rPr>
              <w:t>SWT group</w:t>
            </w:r>
            <w:r w:rsidRPr="00AE24B3">
              <w:rPr>
                <w:b/>
                <w:sz w:val="18"/>
                <w:szCs w:val="18"/>
              </w:rPr>
              <w:t>:</w:t>
            </w:r>
            <w:r>
              <w:rPr>
                <w:sz w:val="18"/>
                <w:szCs w:val="18"/>
              </w:rPr>
              <w:t xml:space="preserve"> </w:t>
            </w:r>
          </w:p>
          <w:p w14:paraId="7A95D059" w14:textId="77777777" w:rsidR="00306C83" w:rsidRDefault="00306C83" w:rsidP="00306C83">
            <w:pPr>
              <w:pStyle w:val="ListParagraph"/>
              <w:numPr>
                <w:ilvl w:val="0"/>
                <w:numId w:val="15"/>
              </w:numPr>
              <w:spacing w:before="120" w:after="120"/>
              <w:rPr>
                <w:sz w:val="18"/>
                <w:szCs w:val="18"/>
              </w:rPr>
            </w:pPr>
            <w:r>
              <w:rPr>
                <w:sz w:val="18"/>
                <w:szCs w:val="18"/>
              </w:rPr>
              <w:t>Was performed by the lead author in three sessions at weekly intervals using a radial shock-wave device.</w:t>
            </w:r>
          </w:p>
          <w:p w14:paraId="6066E03D" w14:textId="77777777" w:rsidR="00306C83" w:rsidRDefault="00306C83" w:rsidP="00306C83">
            <w:pPr>
              <w:pStyle w:val="ListParagraph"/>
              <w:numPr>
                <w:ilvl w:val="0"/>
                <w:numId w:val="15"/>
              </w:numPr>
              <w:spacing w:before="120" w:after="120"/>
              <w:rPr>
                <w:sz w:val="18"/>
                <w:szCs w:val="18"/>
              </w:rPr>
            </w:pPr>
            <w:r>
              <w:rPr>
                <w:sz w:val="18"/>
                <w:szCs w:val="18"/>
              </w:rPr>
              <w:t>2000 pulses were applied with a pressure of 3 bars and a treatment frequency of 8 pulses/second at each session.</w:t>
            </w:r>
          </w:p>
          <w:p w14:paraId="65B57261" w14:textId="77777777" w:rsidR="00306C83" w:rsidRDefault="00306C83" w:rsidP="00306C83">
            <w:pPr>
              <w:pStyle w:val="ListParagraph"/>
              <w:numPr>
                <w:ilvl w:val="0"/>
                <w:numId w:val="15"/>
              </w:numPr>
              <w:spacing w:before="120" w:after="120"/>
              <w:rPr>
                <w:sz w:val="18"/>
                <w:szCs w:val="18"/>
              </w:rPr>
            </w:pPr>
            <w:r>
              <w:rPr>
                <w:sz w:val="18"/>
                <w:szCs w:val="18"/>
              </w:rPr>
              <w:t>The area of maximal tenderness was treated using a circumferential pattern.</w:t>
            </w:r>
          </w:p>
          <w:p w14:paraId="31CB057F" w14:textId="77777777" w:rsidR="001D4F60" w:rsidRPr="002F16E1" w:rsidRDefault="001D4F60" w:rsidP="00306C83">
            <w:pPr>
              <w:spacing w:before="120" w:after="120"/>
              <w:rPr>
                <w:sz w:val="18"/>
                <w:szCs w:val="18"/>
              </w:rPr>
            </w:pPr>
          </w:p>
        </w:tc>
      </w:tr>
      <w:tr w:rsidR="001D4F60" w:rsidRPr="002F16E1" w14:paraId="7DA9302F" w14:textId="77777777" w:rsidTr="001D4F60">
        <w:tc>
          <w:tcPr>
            <w:tcW w:w="10421" w:type="dxa"/>
            <w:shd w:val="clear" w:color="auto" w:fill="E6E6E6"/>
          </w:tcPr>
          <w:p w14:paraId="18011C59" w14:textId="4E03CECB"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4D29053F" w14:textId="77777777" w:rsidTr="001D4F60">
        <w:tc>
          <w:tcPr>
            <w:tcW w:w="10421" w:type="dxa"/>
            <w:tcBorders>
              <w:bottom w:val="single" w:sz="4" w:space="0" w:color="auto"/>
            </w:tcBorders>
            <w:shd w:val="clear" w:color="auto" w:fill="auto"/>
          </w:tcPr>
          <w:p w14:paraId="33CE981A" w14:textId="77777777" w:rsidR="00306C83" w:rsidRDefault="00306C83" w:rsidP="00306C83">
            <w:pPr>
              <w:spacing w:before="120" w:after="120"/>
              <w:rPr>
                <w:sz w:val="18"/>
                <w:szCs w:val="18"/>
              </w:rPr>
            </w:pPr>
            <w:r>
              <w:rPr>
                <w:sz w:val="18"/>
                <w:szCs w:val="18"/>
              </w:rPr>
              <w:t xml:space="preserve">All outcome measures were performed before randomization and at 16 weeks after baseline assessment by a blinded observer in the primary care clinic. </w:t>
            </w:r>
          </w:p>
          <w:p w14:paraId="17ADF663" w14:textId="77777777" w:rsidR="00306C83" w:rsidRDefault="00306C83" w:rsidP="00306C83">
            <w:pPr>
              <w:pStyle w:val="ListParagraph"/>
              <w:numPr>
                <w:ilvl w:val="0"/>
                <w:numId w:val="17"/>
              </w:numPr>
              <w:spacing w:before="120" w:after="120"/>
              <w:rPr>
                <w:sz w:val="18"/>
                <w:szCs w:val="18"/>
              </w:rPr>
            </w:pPr>
            <w:r w:rsidRPr="00DB558C">
              <w:rPr>
                <w:b/>
                <w:sz w:val="18"/>
                <w:szCs w:val="18"/>
              </w:rPr>
              <w:t>VISA-A score</w:t>
            </w:r>
            <w:r>
              <w:rPr>
                <w:b/>
                <w:sz w:val="18"/>
                <w:szCs w:val="18"/>
              </w:rPr>
              <w:t xml:space="preserve"> (primary efficacy endpoint at 4 months):</w:t>
            </w:r>
            <w:r>
              <w:rPr>
                <w:sz w:val="18"/>
                <w:szCs w:val="18"/>
              </w:rPr>
              <w:t xml:space="preserve"> (0-100); has been validated for Achilles tendon problems. Contains 8 questions covering 3 domains: pain, function, and activity. Scores are summed to give a total out of 100, with a score of 100 indicating an asymptomatic person.</w:t>
            </w:r>
          </w:p>
          <w:p w14:paraId="07D1FEBF" w14:textId="77777777" w:rsidR="00306C83" w:rsidRDefault="00306C83" w:rsidP="00306C83">
            <w:pPr>
              <w:pStyle w:val="ListParagraph"/>
              <w:numPr>
                <w:ilvl w:val="0"/>
                <w:numId w:val="17"/>
              </w:numPr>
              <w:spacing w:before="120" w:after="120"/>
              <w:rPr>
                <w:sz w:val="18"/>
                <w:szCs w:val="18"/>
              </w:rPr>
            </w:pPr>
            <w:proofErr w:type="spellStart"/>
            <w:r>
              <w:rPr>
                <w:b/>
                <w:sz w:val="18"/>
                <w:szCs w:val="18"/>
              </w:rPr>
              <w:t>Likert</w:t>
            </w:r>
            <w:proofErr w:type="spellEnd"/>
            <w:r>
              <w:rPr>
                <w:b/>
                <w:sz w:val="18"/>
                <w:szCs w:val="18"/>
              </w:rPr>
              <w:t xml:space="preserve"> scale (secondary): </w:t>
            </w:r>
            <w:r>
              <w:rPr>
                <w:sz w:val="18"/>
                <w:szCs w:val="18"/>
              </w:rPr>
              <w:t xml:space="preserve">(1-6); used to measure </w:t>
            </w:r>
            <w:r w:rsidRPr="00991E7B">
              <w:rPr>
                <w:b/>
                <w:sz w:val="18"/>
                <w:szCs w:val="18"/>
              </w:rPr>
              <w:t>general assessment</w:t>
            </w:r>
            <w:r>
              <w:rPr>
                <w:sz w:val="18"/>
                <w:szCs w:val="18"/>
              </w:rPr>
              <w:t xml:space="preserve"> based on how much the person agrees or disagrees with a statement. A score of 1 indicates being completely recovered; a score of 6 indicates much worse when compared to baseline. </w:t>
            </w:r>
          </w:p>
          <w:p w14:paraId="1E26A381" w14:textId="77777777" w:rsidR="00306C83" w:rsidRDefault="00306C83" w:rsidP="00306C83">
            <w:pPr>
              <w:pStyle w:val="ListParagraph"/>
              <w:numPr>
                <w:ilvl w:val="0"/>
                <w:numId w:val="17"/>
              </w:numPr>
              <w:spacing w:before="120" w:after="120"/>
              <w:rPr>
                <w:sz w:val="18"/>
                <w:szCs w:val="18"/>
              </w:rPr>
            </w:pPr>
            <w:r>
              <w:rPr>
                <w:b/>
                <w:sz w:val="18"/>
                <w:szCs w:val="18"/>
              </w:rPr>
              <w:t xml:space="preserve">Load-induced pain (secondary): </w:t>
            </w:r>
            <w:r>
              <w:rPr>
                <w:sz w:val="18"/>
                <w:szCs w:val="18"/>
              </w:rPr>
              <w:t>(0-10)</w:t>
            </w:r>
            <w:proofErr w:type="gramStart"/>
            <w:r>
              <w:rPr>
                <w:sz w:val="18"/>
                <w:szCs w:val="18"/>
              </w:rPr>
              <w:t>;</w:t>
            </w:r>
            <w:proofErr w:type="gramEnd"/>
            <w:r>
              <w:rPr>
                <w:sz w:val="18"/>
                <w:szCs w:val="18"/>
              </w:rPr>
              <w:t xml:space="preserve"> measured with 11-point numeric rating scale (NRS) (0 indicates no pain, 10 indicates very severe pain).</w:t>
            </w:r>
          </w:p>
          <w:p w14:paraId="4B5B5598" w14:textId="2E85864D" w:rsidR="00306C83" w:rsidRDefault="00306C83" w:rsidP="00306C83">
            <w:pPr>
              <w:pStyle w:val="ListParagraph"/>
              <w:numPr>
                <w:ilvl w:val="0"/>
                <w:numId w:val="17"/>
              </w:numPr>
              <w:spacing w:before="120" w:after="120"/>
              <w:rPr>
                <w:sz w:val="18"/>
                <w:szCs w:val="18"/>
              </w:rPr>
            </w:pPr>
            <w:r>
              <w:rPr>
                <w:b/>
                <w:sz w:val="18"/>
                <w:szCs w:val="18"/>
              </w:rPr>
              <w:t>Pain threshold (secondary) [kg]:</w:t>
            </w:r>
            <w:r>
              <w:rPr>
                <w:sz w:val="18"/>
                <w:szCs w:val="18"/>
              </w:rPr>
              <w:t xml:space="preserve"> measured with an </w:t>
            </w:r>
            <w:proofErr w:type="spellStart"/>
            <w:r>
              <w:rPr>
                <w:sz w:val="18"/>
                <w:szCs w:val="18"/>
              </w:rPr>
              <w:t>algometer</w:t>
            </w:r>
            <w:proofErr w:type="spellEnd"/>
            <w:r>
              <w:rPr>
                <w:sz w:val="18"/>
                <w:szCs w:val="18"/>
              </w:rPr>
              <w:t xml:space="preserve"> using a 1-cm</w:t>
            </w:r>
            <w:r>
              <w:rPr>
                <w:sz w:val="18"/>
                <w:szCs w:val="18"/>
                <w:vertAlign w:val="superscript"/>
              </w:rPr>
              <w:t>2</w:t>
            </w:r>
            <w:r>
              <w:rPr>
                <w:sz w:val="18"/>
                <w:szCs w:val="18"/>
              </w:rPr>
              <w:t xml:space="preserve"> tip. The pain threshold was identified as the minimum pressure that elicited pain in the </w:t>
            </w:r>
            <w:proofErr w:type="spellStart"/>
            <w:r w:rsidR="000F24E9">
              <w:rPr>
                <w:sz w:val="18"/>
                <w:szCs w:val="18"/>
              </w:rPr>
              <w:t>tenderest</w:t>
            </w:r>
            <w:proofErr w:type="spellEnd"/>
            <w:r>
              <w:rPr>
                <w:sz w:val="18"/>
                <w:szCs w:val="18"/>
              </w:rPr>
              <w:t xml:space="preserve"> area of the Achilles tendon.</w:t>
            </w:r>
          </w:p>
          <w:p w14:paraId="09EF77DF" w14:textId="2610EF27" w:rsidR="00306C83" w:rsidRDefault="00306C83" w:rsidP="00306C83">
            <w:pPr>
              <w:pStyle w:val="ListParagraph"/>
              <w:numPr>
                <w:ilvl w:val="0"/>
                <w:numId w:val="17"/>
              </w:numPr>
              <w:spacing w:before="120" w:after="120"/>
              <w:rPr>
                <w:sz w:val="18"/>
                <w:szCs w:val="18"/>
              </w:rPr>
            </w:pPr>
            <w:r>
              <w:rPr>
                <w:b/>
                <w:sz w:val="18"/>
                <w:szCs w:val="18"/>
              </w:rPr>
              <w:t>Tenderness:</w:t>
            </w:r>
            <w:r>
              <w:rPr>
                <w:sz w:val="18"/>
                <w:szCs w:val="18"/>
              </w:rPr>
              <w:t xml:space="preserve"> measured with an </w:t>
            </w:r>
            <w:proofErr w:type="spellStart"/>
            <w:r>
              <w:rPr>
                <w:sz w:val="18"/>
                <w:szCs w:val="18"/>
              </w:rPr>
              <w:t>algometer</w:t>
            </w:r>
            <w:proofErr w:type="spellEnd"/>
            <w:r>
              <w:rPr>
                <w:sz w:val="18"/>
                <w:szCs w:val="18"/>
              </w:rPr>
              <w:t xml:space="preserve"> using a 1-cm</w:t>
            </w:r>
            <w:r>
              <w:rPr>
                <w:sz w:val="18"/>
                <w:szCs w:val="18"/>
                <w:vertAlign w:val="superscript"/>
              </w:rPr>
              <w:t>2</w:t>
            </w:r>
            <w:r>
              <w:rPr>
                <w:sz w:val="18"/>
                <w:szCs w:val="18"/>
              </w:rPr>
              <w:t xml:space="preserve"> tip. Patient rated pain according to the 11-point NRS (0-10) when a pressure of 3 kg was applied to the </w:t>
            </w:r>
            <w:proofErr w:type="spellStart"/>
            <w:r w:rsidR="000F24E9">
              <w:rPr>
                <w:sz w:val="18"/>
                <w:szCs w:val="18"/>
              </w:rPr>
              <w:t>tenderest</w:t>
            </w:r>
            <w:proofErr w:type="spellEnd"/>
            <w:r>
              <w:rPr>
                <w:sz w:val="18"/>
                <w:szCs w:val="18"/>
              </w:rPr>
              <w:t xml:space="preserve"> area of the Achilles tendon. </w:t>
            </w:r>
          </w:p>
          <w:p w14:paraId="42D65CB6" w14:textId="77777777" w:rsidR="00306C83" w:rsidRDefault="00306C83" w:rsidP="00306C83">
            <w:pPr>
              <w:pStyle w:val="ListParagraph"/>
              <w:numPr>
                <w:ilvl w:val="0"/>
                <w:numId w:val="17"/>
              </w:numPr>
              <w:spacing w:before="120" w:after="120"/>
              <w:rPr>
                <w:sz w:val="18"/>
                <w:szCs w:val="18"/>
              </w:rPr>
            </w:pPr>
            <w:r>
              <w:rPr>
                <w:b/>
                <w:sz w:val="18"/>
                <w:szCs w:val="18"/>
              </w:rPr>
              <w:t>Tendon diameter (secondary) [mm]:</w:t>
            </w:r>
            <w:r>
              <w:rPr>
                <w:sz w:val="18"/>
                <w:szCs w:val="18"/>
              </w:rPr>
              <w:t xml:space="preserve"> measured AP diameter of the Achilles tendon of the affected and unaffected leg with ultrasound.</w:t>
            </w:r>
          </w:p>
          <w:p w14:paraId="658F7FDC" w14:textId="77777777" w:rsidR="001D4F60" w:rsidRPr="002F16E1" w:rsidRDefault="001D4F60" w:rsidP="00306C83">
            <w:pPr>
              <w:spacing w:before="120" w:after="120"/>
              <w:rPr>
                <w:sz w:val="18"/>
                <w:szCs w:val="18"/>
              </w:rPr>
            </w:pPr>
          </w:p>
        </w:tc>
      </w:tr>
      <w:tr w:rsidR="001D4F60" w:rsidRPr="002F16E1" w14:paraId="0D804805" w14:textId="77777777" w:rsidTr="001D4F60">
        <w:tc>
          <w:tcPr>
            <w:tcW w:w="10421" w:type="dxa"/>
            <w:tcBorders>
              <w:bottom w:val="single" w:sz="4" w:space="0" w:color="auto"/>
            </w:tcBorders>
            <w:shd w:val="clear" w:color="auto" w:fill="E6E6E6"/>
          </w:tcPr>
          <w:p w14:paraId="39BB1210" w14:textId="77777777" w:rsidR="001D4F60" w:rsidRPr="002F16E1" w:rsidRDefault="001D4F60" w:rsidP="009E380F">
            <w:pPr>
              <w:spacing w:before="120" w:after="120"/>
              <w:rPr>
                <w:b/>
                <w:sz w:val="18"/>
                <w:szCs w:val="18"/>
              </w:rPr>
            </w:pPr>
            <w:r w:rsidRPr="002F16E1">
              <w:rPr>
                <w:b/>
                <w:sz w:val="18"/>
                <w:szCs w:val="18"/>
              </w:rPr>
              <w:t>Main Findings</w:t>
            </w:r>
          </w:p>
          <w:p w14:paraId="58B0B0ED"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57E435DA" w14:textId="77777777" w:rsidTr="001D4F60">
        <w:tc>
          <w:tcPr>
            <w:tcW w:w="10421" w:type="dxa"/>
            <w:tcBorders>
              <w:bottom w:val="single" w:sz="4" w:space="0" w:color="auto"/>
            </w:tcBorders>
            <w:shd w:val="clear" w:color="auto" w:fill="auto"/>
          </w:tcPr>
          <w:p w14:paraId="5057995F" w14:textId="77777777" w:rsidR="00306C83" w:rsidRDefault="00306C83" w:rsidP="00306C83">
            <w:pPr>
              <w:pStyle w:val="ListParagraph"/>
              <w:numPr>
                <w:ilvl w:val="0"/>
                <w:numId w:val="18"/>
              </w:numPr>
              <w:spacing w:before="120" w:after="120"/>
              <w:rPr>
                <w:sz w:val="18"/>
                <w:szCs w:val="18"/>
              </w:rPr>
            </w:pPr>
            <w:r>
              <w:rPr>
                <w:sz w:val="18"/>
                <w:szCs w:val="18"/>
              </w:rPr>
              <w:t>5 patients were lost to follow-up; outcome analysis was completed using the last set of data provided by these 5 patients.</w:t>
            </w:r>
          </w:p>
          <w:p w14:paraId="4BA3A20F" w14:textId="77777777" w:rsidR="00306C83" w:rsidRDefault="00306C83" w:rsidP="00306C83">
            <w:pPr>
              <w:pStyle w:val="ListParagraph"/>
              <w:numPr>
                <w:ilvl w:val="0"/>
                <w:numId w:val="18"/>
              </w:numPr>
              <w:spacing w:before="120" w:after="120"/>
              <w:rPr>
                <w:sz w:val="18"/>
                <w:szCs w:val="18"/>
              </w:rPr>
            </w:pPr>
            <w:r>
              <w:rPr>
                <w:sz w:val="18"/>
                <w:szCs w:val="18"/>
              </w:rPr>
              <w:lastRenderedPageBreak/>
              <w:t>The authors report no serious complications of all patients participating in this study. (</w:t>
            </w:r>
            <w:proofErr w:type="spellStart"/>
            <w:r>
              <w:rPr>
                <w:sz w:val="18"/>
                <w:szCs w:val="18"/>
              </w:rPr>
              <w:t>Rompe</w:t>
            </w:r>
            <w:proofErr w:type="spellEnd"/>
            <w:r>
              <w:rPr>
                <w:sz w:val="18"/>
                <w:szCs w:val="18"/>
              </w:rPr>
              <w:t xml:space="preserve"> et al., 2007, p. 380)</w:t>
            </w:r>
          </w:p>
          <w:p w14:paraId="5F8CFD67" w14:textId="77777777" w:rsidR="00306C83" w:rsidRDefault="00306C83" w:rsidP="00306C83">
            <w:pPr>
              <w:pStyle w:val="ListParagraph"/>
              <w:numPr>
                <w:ilvl w:val="0"/>
                <w:numId w:val="18"/>
              </w:numPr>
              <w:spacing w:before="120" w:after="120"/>
              <w:rPr>
                <w:sz w:val="18"/>
                <w:szCs w:val="18"/>
              </w:rPr>
            </w:pPr>
            <w:r>
              <w:rPr>
                <w:sz w:val="18"/>
                <w:szCs w:val="18"/>
              </w:rPr>
              <w:t xml:space="preserve">Authors calculated that 25 subjects must be treated in each group to determine a statistically significant treatment effect size of 3.0 points on the NRS, assuming a standard deviation of 2.0. The sample size accounted for a 10% loss to follow-up, a type I error rate of 0.05, and a power of 0.8. </w:t>
            </w:r>
          </w:p>
          <w:p w14:paraId="3EE23E19" w14:textId="77777777" w:rsidR="00306C83" w:rsidRDefault="00306C83" w:rsidP="00306C83">
            <w:pPr>
              <w:pStyle w:val="ListParagraph"/>
              <w:numPr>
                <w:ilvl w:val="0"/>
                <w:numId w:val="18"/>
              </w:numPr>
              <w:spacing w:before="120" w:after="120"/>
              <w:rPr>
                <w:sz w:val="18"/>
                <w:szCs w:val="18"/>
              </w:rPr>
            </w:pPr>
            <w:r>
              <w:rPr>
                <w:b/>
                <w:sz w:val="18"/>
                <w:szCs w:val="18"/>
              </w:rPr>
              <w:t xml:space="preserve">VISA-A Score: </w:t>
            </w:r>
            <w:r>
              <w:rPr>
                <w:sz w:val="18"/>
                <w:szCs w:val="18"/>
              </w:rPr>
              <w:t xml:space="preserve"> Mean scores at baseline demonstrated no significant differences in all groups: (eccentric group (EG), 50.6 ± 11.5; SWT, 50.3 ± 11.7; RG, 48.2 ± 9.0). EG and SWT groups showed significantly better results (all P&lt;</w:t>
            </w:r>
            <w:proofErr w:type="gramStart"/>
            <w:r>
              <w:rPr>
                <w:sz w:val="18"/>
                <w:szCs w:val="18"/>
              </w:rPr>
              <w:t>.01</w:t>
            </w:r>
            <w:proofErr w:type="gramEnd"/>
            <w:r>
              <w:rPr>
                <w:sz w:val="18"/>
                <w:szCs w:val="18"/>
              </w:rPr>
              <w:t>) at 4-month follow-up compared to baseline (EG, 75.6% ± 18.7%; SWT, 70.4% ± 16.3%; RG, 55.0% ± 12.9%), and both groups had significantly better results than patients in the rest group (RG), all P&lt;.001; power=0.99). The between-group difference mean at 4-month follow-up of EG and SWT was 5.2 (95% confidence interval; CI=-3.9 to 14.3; P=</w:t>
            </w:r>
            <w:proofErr w:type="gramStart"/>
            <w:r>
              <w:rPr>
                <w:sz w:val="18"/>
                <w:szCs w:val="18"/>
              </w:rPr>
              <w:t>.259</w:t>
            </w:r>
            <w:proofErr w:type="gramEnd"/>
            <w:r>
              <w:rPr>
                <w:sz w:val="18"/>
                <w:szCs w:val="18"/>
              </w:rPr>
              <w:t>; power=0.13), indicating that there was no statistically significant difference in outcomes between these two groups.</w:t>
            </w:r>
          </w:p>
          <w:p w14:paraId="08750B38" w14:textId="77777777" w:rsidR="00306C83" w:rsidRDefault="00306C83" w:rsidP="00306C83">
            <w:pPr>
              <w:pStyle w:val="ListParagraph"/>
              <w:numPr>
                <w:ilvl w:val="0"/>
                <w:numId w:val="18"/>
              </w:numPr>
              <w:spacing w:before="120" w:after="120"/>
              <w:rPr>
                <w:sz w:val="18"/>
                <w:szCs w:val="18"/>
              </w:rPr>
            </w:pPr>
            <w:r>
              <w:rPr>
                <w:b/>
                <w:sz w:val="18"/>
                <w:szCs w:val="18"/>
              </w:rPr>
              <w:t xml:space="preserve">General assessment: </w:t>
            </w:r>
            <w:r>
              <w:rPr>
                <w:sz w:val="18"/>
                <w:szCs w:val="18"/>
              </w:rPr>
              <w:t xml:space="preserve">Mean scores on the </w:t>
            </w:r>
            <w:proofErr w:type="spellStart"/>
            <w:r>
              <w:rPr>
                <w:sz w:val="18"/>
                <w:szCs w:val="18"/>
              </w:rPr>
              <w:t>Likert</w:t>
            </w:r>
            <w:proofErr w:type="spellEnd"/>
            <w:r>
              <w:rPr>
                <w:sz w:val="18"/>
                <w:szCs w:val="18"/>
              </w:rPr>
              <w:t xml:space="preserve"> scale at baseline were (EG, 5.3 ± 0.8; SWT, 4.8 ± 0.9; RG, 4.8 ± 0.8). Mean scores on the </w:t>
            </w:r>
            <w:proofErr w:type="spellStart"/>
            <w:r>
              <w:rPr>
                <w:sz w:val="18"/>
                <w:szCs w:val="18"/>
              </w:rPr>
              <w:t>Likert</w:t>
            </w:r>
            <w:proofErr w:type="spellEnd"/>
            <w:r>
              <w:rPr>
                <w:sz w:val="18"/>
                <w:szCs w:val="18"/>
              </w:rPr>
              <w:t xml:space="preserve"> scale at 4-month follow-up were (EG, 2.7 ± 1.5; SWT, 2.9 ± 1.5; RG, 4.3 ± 1.6). The between-group difference mean at 4-month follow-up of EG and SWT was -0.2 (95% confidence interval; CI = -1.0 to 0.5); P=</w:t>
            </w:r>
            <w:proofErr w:type="gramStart"/>
            <w:r>
              <w:rPr>
                <w:sz w:val="18"/>
                <w:szCs w:val="18"/>
              </w:rPr>
              <w:t>.557</w:t>
            </w:r>
            <w:proofErr w:type="gramEnd"/>
            <w:r>
              <w:rPr>
                <w:sz w:val="18"/>
                <w:szCs w:val="18"/>
              </w:rPr>
              <w:t>); EG and RG was -1.6 (95% confidence interval; CI = -0.8 to 2.4; P&lt;.001); SWT and RG was -1.4 (95% confidence interval; CI = -2.2 to 0.6; P=.001). These findings indicate that patients from EG and SWT groups demonstrated significantly better results than patients from RG (P&lt;</w:t>
            </w:r>
            <w:proofErr w:type="gramStart"/>
            <w:r>
              <w:rPr>
                <w:sz w:val="18"/>
                <w:szCs w:val="18"/>
              </w:rPr>
              <w:t>.001</w:t>
            </w:r>
            <w:proofErr w:type="gramEnd"/>
            <w:r>
              <w:rPr>
                <w:sz w:val="18"/>
                <w:szCs w:val="18"/>
              </w:rPr>
              <w:t xml:space="preserve">; P = .001). Between 60% of patients in EG, 53% of patients in SWT, and 24% of patients in RG reported a 1 (completely recovered) or 2 (much improved) on the </w:t>
            </w:r>
            <w:proofErr w:type="spellStart"/>
            <w:r>
              <w:rPr>
                <w:sz w:val="18"/>
                <w:szCs w:val="18"/>
              </w:rPr>
              <w:t>Likert</w:t>
            </w:r>
            <w:proofErr w:type="spellEnd"/>
            <w:r>
              <w:rPr>
                <w:sz w:val="18"/>
                <w:szCs w:val="18"/>
              </w:rPr>
              <w:t xml:space="preserve"> scale at 4-months follow-up. </w:t>
            </w:r>
          </w:p>
          <w:p w14:paraId="0D3C176C" w14:textId="298B91A4" w:rsidR="00306C83" w:rsidRDefault="00306C83" w:rsidP="00306C83">
            <w:pPr>
              <w:pStyle w:val="ListParagraph"/>
              <w:numPr>
                <w:ilvl w:val="0"/>
                <w:numId w:val="18"/>
              </w:numPr>
              <w:spacing w:before="120" w:after="120"/>
              <w:rPr>
                <w:sz w:val="18"/>
                <w:szCs w:val="18"/>
              </w:rPr>
            </w:pPr>
            <w:r>
              <w:rPr>
                <w:b/>
                <w:sz w:val="18"/>
                <w:szCs w:val="18"/>
              </w:rPr>
              <w:t xml:space="preserve">Load-induced pain: </w:t>
            </w:r>
            <w:r>
              <w:rPr>
                <w:sz w:val="18"/>
                <w:szCs w:val="18"/>
              </w:rPr>
              <w:t xml:space="preserve">Mean scores on the NRS at baseline were (EG, 7.0 ± 0.8; SWT, 6.8 ± 0.9; RG, 7.9 ± 0.6), demonstrating no significant difference between all groups. Mean scores on the NRS at 4-month follow-up were (EG, 3.6 ± 2.3; SWT, 4.0 ± 2.2; RG, 5.9 ± 1.8), showing statistically significant improvements from the </w:t>
            </w:r>
            <w:r w:rsidR="000F24E9">
              <w:rPr>
                <w:sz w:val="18"/>
                <w:szCs w:val="18"/>
              </w:rPr>
              <w:t>pre-treatment</w:t>
            </w:r>
            <w:r>
              <w:rPr>
                <w:sz w:val="18"/>
                <w:szCs w:val="18"/>
              </w:rPr>
              <w:t xml:space="preserve"> level in all groups (all P&lt;</w:t>
            </w:r>
            <w:proofErr w:type="gramStart"/>
            <w:r>
              <w:rPr>
                <w:sz w:val="18"/>
                <w:szCs w:val="18"/>
              </w:rPr>
              <w:t>.001</w:t>
            </w:r>
            <w:proofErr w:type="gramEnd"/>
            <w:r>
              <w:rPr>
                <w:sz w:val="18"/>
                <w:szCs w:val="18"/>
              </w:rPr>
              <w:t>). The between-group difference mean at 4-month follow-up of EG and SWT was 0.5 (95% confidence interval; CI = -0.8 to 1.6; P=</w:t>
            </w:r>
            <w:proofErr w:type="gramStart"/>
            <w:r>
              <w:rPr>
                <w:sz w:val="18"/>
                <w:szCs w:val="18"/>
              </w:rPr>
              <w:t>.494</w:t>
            </w:r>
            <w:proofErr w:type="gramEnd"/>
            <w:r>
              <w:rPr>
                <w:sz w:val="18"/>
                <w:szCs w:val="18"/>
              </w:rPr>
              <w:t>); EG and RG was 2.4 (95% confidence interval; CI = 1.3-3.5; P&lt;.001); SWT and RG was 2.0 (95% confidence interval; CI = 1.0-3.0; P&lt;.001). These findings indicate that patients from EG and SWT achieved significantly better results than patients from RG (all P&lt;</w:t>
            </w:r>
            <w:proofErr w:type="gramStart"/>
            <w:r>
              <w:rPr>
                <w:sz w:val="18"/>
                <w:szCs w:val="18"/>
              </w:rPr>
              <w:t>.001</w:t>
            </w:r>
            <w:proofErr w:type="gramEnd"/>
            <w:r>
              <w:rPr>
                <w:sz w:val="18"/>
                <w:szCs w:val="18"/>
              </w:rPr>
              <w:t>).</w:t>
            </w:r>
          </w:p>
          <w:p w14:paraId="555B46ED" w14:textId="77777777" w:rsidR="00306C83" w:rsidRDefault="00306C83" w:rsidP="00306C83">
            <w:pPr>
              <w:pStyle w:val="ListParagraph"/>
              <w:numPr>
                <w:ilvl w:val="0"/>
                <w:numId w:val="18"/>
              </w:numPr>
              <w:spacing w:before="120" w:after="120"/>
              <w:rPr>
                <w:sz w:val="18"/>
                <w:szCs w:val="18"/>
              </w:rPr>
            </w:pPr>
            <w:r>
              <w:rPr>
                <w:b/>
                <w:sz w:val="18"/>
                <w:szCs w:val="18"/>
              </w:rPr>
              <w:t>Pain threshold [kg]:</w:t>
            </w:r>
            <w:r>
              <w:rPr>
                <w:sz w:val="18"/>
                <w:szCs w:val="18"/>
              </w:rPr>
              <w:t xml:space="preserve"> Mean pain threshold values at baseline were (EG, 1.5 ± 0.6; SWT, 1.4 ± 0.8; RG, 1.6 ± 0.8), demonstrating no significant difference between all groups. Mean pain threshold values at 4-month follow-up were (EG, 3.1 ± 1.1; SWT, 2.8 ± 0.9; RG, 2.1 ± 1.0), and improvements from baseline were only statistically significant in EG and SWT (all P&lt;</w:t>
            </w:r>
            <w:proofErr w:type="gramStart"/>
            <w:r>
              <w:rPr>
                <w:sz w:val="18"/>
                <w:szCs w:val="18"/>
              </w:rPr>
              <w:t>.001</w:t>
            </w:r>
            <w:proofErr w:type="gramEnd"/>
            <w:r>
              <w:rPr>
                <w:sz w:val="18"/>
                <w:szCs w:val="18"/>
              </w:rPr>
              <w:t>). The between-group difference mean at 4-month follow-up of EG and SWT was 0.4 (95% confidence interval; CI = -0.1 to 0.9; P=</w:t>
            </w:r>
            <w:proofErr w:type="gramStart"/>
            <w:r>
              <w:rPr>
                <w:sz w:val="18"/>
                <w:szCs w:val="18"/>
              </w:rPr>
              <w:t>.181</w:t>
            </w:r>
            <w:proofErr w:type="gramEnd"/>
            <w:r>
              <w:rPr>
                <w:sz w:val="18"/>
                <w:szCs w:val="18"/>
              </w:rPr>
              <w:t>); EG and RG was 1.0 (95% confidence interval; CI = 0.5-1.5; P&lt;.001); SWT and RG was 0.7 (95% confidence interval; CI = 0.2-1.2; P=.008). These findings demonstrate that patients from EG and SWT had statistically better results than RG (P&lt;</w:t>
            </w:r>
            <w:proofErr w:type="gramStart"/>
            <w:r>
              <w:rPr>
                <w:sz w:val="18"/>
                <w:szCs w:val="18"/>
              </w:rPr>
              <w:t>.001</w:t>
            </w:r>
            <w:proofErr w:type="gramEnd"/>
            <w:r>
              <w:rPr>
                <w:sz w:val="18"/>
                <w:szCs w:val="18"/>
              </w:rPr>
              <w:t>; P = .008).</w:t>
            </w:r>
          </w:p>
          <w:p w14:paraId="29BCD0E2" w14:textId="77777777" w:rsidR="00306C83" w:rsidRDefault="00306C83" w:rsidP="00306C83">
            <w:pPr>
              <w:pStyle w:val="ListParagraph"/>
              <w:numPr>
                <w:ilvl w:val="0"/>
                <w:numId w:val="18"/>
              </w:numPr>
              <w:spacing w:before="120" w:after="120"/>
              <w:rPr>
                <w:sz w:val="18"/>
                <w:szCs w:val="18"/>
              </w:rPr>
            </w:pPr>
            <w:r>
              <w:rPr>
                <w:b/>
                <w:sz w:val="18"/>
                <w:szCs w:val="18"/>
              </w:rPr>
              <w:t xml:space="preserve">Tenderness: </w:t>
            </w:r>
            <w:r>
              <w:rPr>
                <w:sz w:val="18"/>
                <w:szCs w:val="18"/>
              </w:rPr>
              <w:t>Mean scores on the NRS at baseline were (EG, 7.1 ± 3.6; SWT, 6.4 ± 4.4; RG, 6.8 ± 3.1), showing no significant difference in all groups. Mean scores on the NRS at 4-month follow-up were (EG, 1.7 ± 3.9; SWT, 2.6 ± 4.2; RG, 4.3 ± 7.0), which show that improvements from baseline were statistically significant in all groups (all P&lt;</w:t>
            </w:r>
            <w:proofErr w:type="gramStart"/>
            <w:r>
              <w:rPr>
                <w:sz w:val="18"/>
                <w:szCs w:val="18"/>
              </w:rPr>
              <w:t>.001</w:t>
            </w:r>
            <w:proofErr w:type="gramEnd"/>
            <w:r>
              <w:rPr>
                <w:sz w:val="18"/>
                <w:szCs w:val="18"/>
              </w:rPr>
              <w:t>). The between-group difference mean at 4-month follow-up of EG and SWT was -0.9 (95% confidence interval; CI = -2.9 to 1.2; P=</w:t>
            </w:r>
            <w:proofErr w:type="gramStart"/>
            <w:r>
              <w:rPr>
                <w:sz w:val="18"/>
                <w:szCs w:val="18"/>
              </w:rPr>
              <w:t>.393</w:t>
            </w:r>
            <w:proofErr w:type="gramEnd"/>
            <w:r>
              <w:rPr>
                <w:sz w:val="18"/>
                <w:szCs w:val="18"/>
              </w:rPr>
              <w:t xml:space="preserve">); EG and RG was -2.6 (95% confidence interval; CI = -5.5-0.3; P=.076); SWT and RG was -1.7 (95% confidence interval; CI = -4.7-1.3; P=.260). None of these between-group differences were statistically significant. </w:t>
            </w:r>
          </w:p>
          <w:p w14:paraId="4BA63F53" w14:textId="77777777" w:rsidR="00306C83" w:rsidRPr="00B436B2" w:rsidRDefault="00306C83" w:rsidP="00306C83">
            <w:pPr>
              <w:pStyle w:val="ListParagraph"/>
              <w:numPr>
                <w:ilvl w:val="0"/>
                <w:numId w:val="18"/>
              </w:numPr>
              <w:spacing w:before="120" w:after="120"/>
              <w:rPr>
                <w:sz w:val="18"/>
                <w:szCs w:val="18"/>
              </w:rPr>
            </w:pPr>
            <w:r>
              <w:rPr>
                <w:b/>
                <w:sz w:val="18"/>
                <w:szCs w:val="18"/>
              </w:rPr>
              <w:t>Tendon diameter [mm]:</w:t>
            </w:r>
            <w:r>
              <w:rPr>
                <w:sz w:val="18"/>
                <w:szCs w:val="18"/>
              </w:rPr>
              <w:t xml:space="preserve"> Mean diameters of affected leg at baseline were (EG, 12.8 ± 4.1; SWT, 11.8 ± 4.7; RG, 11.3 ± 3.8). Mean diameters of unaffected leg at baseline were (EG, 5.3 ± 2.1; SWT, 5.5 ± 1.7; RG, 5.9 ± 2.0). These changes in tendon diameter were not significant in all three groups.</w:t>
            </w:r>
          </w:p>
          <w:p w14:paraId="4EF9955F" w14:textId="77777777" w:rsidR="001D4F60" w:rsidRPr="002F16E1" w:rsidRDefault="001D4F60" w:rsidP="00306C83">
            <w:pPr>
              <w:spacing w:before="120" w:after="120"/>
              <w:rPr>
                <w:sz w:val="18"/>
                <w:szCs w:val="18"/>
              </w:rPr>
            </w:pPr>
          </w:p>
        </w:tc>
      </w:tr>
      <w:tr w:rsidR="001D4F60" w:rsidRPr="002F16E1" w14:paraId="6E185C4D" w14:textId="77777777" w:rsidTr="001D4F60">
        <w:tc>
          <w:tcPr>
            <w:tcW w:w="10421" w:type="dxa"/>
            <w:shd w:val="clear" w:color="auto" w:fill="E6E6E6"/>
          </w:tcPr>
          <w:p w14:paraId="45872EBA" w14:textId="264930E5" w:rsidR="001D4F60" w:rsidRPr="00FB0D4B"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7276472A" w14:textId="77777777" w:rsidTr="001D4F60">
        <w:tc>
          <w:tcPr>
            <w:tcW w:w="10421" w:type="dxa"/>
            <w:tcBorders>
              <w:bottom w:val="single" w:sz="4" w:space="0" w:color="auto"/>
            </w:tcBorders>
            <w:shd w:val="clear" w:color="auto" w:fill="auto"/>
          </w:tcPr>
          <w:p w14:paraId="54FBE3FD" w14:textId="77777777" w:rsidR="00306C83" w:rsidRDefault="00306C83" w:rsidP="00306C83">
            <w:pPr>
              <w:spacing w:before="120" w:after="120"/>
              <w:rPr>
                <w:sz w:val="18"/>
                <w:szCs w:val="18"/>
              </w:rPr>
            </w:pPr>
            <w:r>
              <w:rPr>
                <w:sz w:val="18"/>
                <w:szCs w:val="18"/>
              </w:rPr>
              <w:t xml:space="preserve">“Spontaneous recovery after more than 6 months of symptoms of </w:t>
            </w:r>
            <w:proofErr w:type="spellStart"/>
            <w:r>
              <w:rPr>
                <w:sz w:val="18"/>
                <w:szCs w:val="18"/>
              </w:rPr>
              <w:t>tendinopathy</w:t>
            </w:r>
            <w:proofErr w:type="spellEnd"/>
            <w:r>
              <w:rPr>
                <w:sz w:val="18"/>
                <w:szCs w:val="18"/>
              </w:rPr>
              <w:t xml:space="preserve"> of the main body of the Achilles tendon is unlikely in the vast majority of patients. Our results show that the likelihood of recovery after 4 months was comparable after both eccentric loading and SWT, as applied. Success rates were 50%-60%.” (</w:t>
            </w:r>
            <w:proofErr w:type="spellStart"/>
            <w:r>
              <w:rPr>
                <w:sz w:val="18"/>
                <w:szCs w:val="18"/>
              </w:rPr>
              <w:t>Rompe</w:t>
            </w:r>
            <w:proofErr w:type="spellEnd"/>
            <w:r>
              <w:rPr>
                <w:sz w:val="18"/>
                <w:szCs w:val="18"/>
              </w:rPr>
              <w:t xml:space="preserve"> et al, 2007, p. 382).</w:t>
            </w:r>
          </w:p>
          <w:p w14:paraId="759BBB88" w14:textId="0E5F203E" w:rsidR="00306C83" w:rsidRPr="002F16E1" w:rsidRDefault="00306C83" w:rsidP="00306C83">
            <w:pPr>
              <w:spacing w:before="120" w:after="120"/>
              <w:rPr>
                <w:sz w:val="18"/>
                <w:szCs w:val="18"/>
              </w:rPr>
            </w:pPr>
            <w:proofErr w:type="spellStart"/>
            <w:r>
              <w:rPr>
                <w:sz w:val="18"/>
                <w:szCs w:val="18"/>
              </w:rPr>
              <w:t>Rompe</w:t>
            </w:r>
            <w:proofErr w:type="spellEnd"/>
            <w:r>
              <w:rPr>
                <w:sz w:val="18"/>
                <w:szCs w:val="18"/>
              </w:rPr>
              <w:t xml:space="preserve"> et al. (2007) found that eccentric training or SWT for the treatment of chronic </w:t>
            </w:r>
            <w:proofErr w:type="spellStart"/>
            <w:r>
              <w:rPr>
                <w:sz w:val="18"/>
                <w:szCs w:val="18"/>
              </w:rPr>
              <w:t>tendinopathy</w:t>
            </w:r>
            <w:proofErr w:type="spellEnd"/>
            <w:r>
              <w:rPr>
                <w:sz w:val="18"/>
                <w:szCs w:val="18"/>
              </w:rPr>
              <w:t xml:space="preserve"> of the main body of the Achilles tendon can be effective and successful alternatives to surgical intervention. </w:t>
            </w:r>
          </w:p>
        </w:tc>
      </w:tr>
      <w:tr w:rsidR="001D4F60" w:rsidRPr="002F16E1" w14:paraId="77FBC514" w14:textId="77777777" w:rsidTr="001D4F60">
        <w:tc>
          <w:tcPr>
            <w:tcW w:w="10421" w:type="dxa"/>
            <w:shd w:val="clear" w:color="auto" w:fill="E6E6E6"/>
          </w:tcPr>
          <w:p w14:paraId="3E9512B7"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6BC2E4B" w14:textId="77777777" w:rsidTr="001D4F60">
        <w:tc>
          <w:tcPr>
            <w:tcW w:w="10421" w:type="dxa"/>
            <w:shd w:val="clear" w:color="auto" w:fill="auto"/>
          </w:tcPr>
          <w:p w14:paraId="10C47EDD" w14:textId="77777777" w:rsidR="001D4F60" w:rsidRPr="002F16E1" w:rsidRDefault="001D4F60" w:rsidP="009E380F">
            <w:pPr>
              <w:spacing w:before="120" w:after="120"/>
              <w:rPr>
                <w:b/>
                <w:sz w:val="18"/>
                <w:szCs w:val="18"/>
              </w:rPr>
            </w:pPr>
            <w:r w:rsidRPr="002F16E1">
              <w:rPr>
                <w:b/>
                <w:sz w:val="18"/>
                <w:szCs w:val="18"/>
              </w:rPr>
              <w:t>Validity</w:t>
            </w:r>
          </w:p>
          <w:p w14:paraId="5D439BA8"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05B75ECA"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797D160D" w14:textId="77777777" w:rsidTr="001D4F60">
        <w:tc>
          <w:tcPr>
            <w:tcW w:w="10421" w:type="dxa"/>
            <w:shd w:val="clear" w:color="auto" w:fill="auto"/>
          </w:tcPr>
          <w:p w14:paraId="75E0894D" w14:textId="77777777" w:rsidR="00306C83" w:rsidRDefault="00306C83" w:rsidP="00306C83">
            <w:pPr>
              <w:pStyle w:val="ListParagraph"/>
              <w:numPr>
                <w:ilvl w:val="0"/>
                <w:numId w:val="19"/>
              </w:numPr>
              <w:spacing w:before="120" w:after="120"/>
              <w:rPr>
                <w:sz w:val="18"/>
                <w:szCs w:val="18"/>
              </w:rPr>
            </w:pPr>
            <w:proofErr w:type="spellStart"/>
            <w:r>
              <w:rPr>
                <w:sz w:val="18"/>
                <w:szCs w:val="18"/>
              </w:rPr>
              <w:lastRenderedPageBreak/>
              <w:t>PEDro</w:t>
            </w:r>
            <w:proofErr w:type="spellEnd"/>
            <w:r>
              <w:rPr>
                <w:sz w:val="18"/>
                <w:szCs w:val="18"/>
              </w:rPr>
              <w:t xml:space="preserve"> Score: 8/10 based on Eligibility Criteria: Yes; Random Allocation: yes; Concealed Allocation: Yes; Baseline Comparison: Yes; Blind Subjects: No; Blind Therapist: No; Blind Assessors: Yes; Adequate Follow-up: Yes; Intention-to-treat analysis: Yes; Between Group Comparison: Yes; Point Estimates and Variability: Yes. (Eligibility score does not contribute to total score.) </w:t>
            </w:r>
          </w:p>
          <w:p w14:paraId="42005252" w14:textId="77777777" w:rsidR="00306C83" w:rsidRDefault="00306C83" w:rsidP="00306C83">
            <w:pPr>
              <w:spacing w:before="120" w:after="120"/>
              <w:rPr>
                <w:sz w:val="18"/>
                <w:szCs w:val="18"/>
              </w:rPr>
            </w:pPr>
          </w:p>
          <w:p w14:paraId="2162FDAA" w14:textId="440C2252" w:rsidR="00306C83" w:rsidRDefault="00306C83" w:rsidP="00306C83">
            <w:pPr>
              <w:spacing w:before="120" w:after="120"/>
              <w:rPr>
                <w:sz w:val="18"/>
                <w:szCs w:val="18"/>
              </w:rPr>
            </w:pPr>
            <w:r>
              <w:rPr>
                <w:sz w:val="18"/>
                <w:szCs w:val="18"/>
              </w:rPr>
              <w:t>Although this study performed observer-blinded outcome assessments before randomization and at 16 weeks after baseline assessment, the author states that it is still difficult to implement a blinded and unbiased assessment of outcomes in the primary-care setting.</w:t>
            </w:r>
            <w:r>
              <w:rPr>
                <w:sz w:val="18"/>
                <w:szCs w:val="18"/>
                <w:vertAlign w:val="superscript"/>
              </w:rPr>
              <w:t>1</w:t>
            </w:r>
            <w:r>
              <w:rPr>
                <w:sz w:val="18"/>
                <w:szCs w:val="18"/>
              </w:rPr>
              <w:t xml:space="preserve"> This leads to the possibility of the independent observer becoming aware of the treatment being received by patients in some instances.</w:t>
            </w:r>
            <w:r>
              <w:rPr>
                <w:sz w:val="18"/>
                <w:szCs w:val="18"/>
                <w:vertAlign w:val="superscript"/>
              </w:rPr>
              <w:t>1</w:t>
            </w:r>
            <w:r>
              <w:rPr>
                <w:sz w:val="18"/>
                <w:szCs w:val="18"/>
              </w:rPr>
              <w:t xml:space="preserve"> However, the author continues to explain that this likely would not have biased the results because the assistant was not directly involved in the management of patients.</w:t>
            </w:r>
            <w:r>
              <w:rPr>
                <w:sz w:val="18"/>
                <w:szCs w:val="18"/>
                <w:vertAlign w:val="superscript"/>
              </w:rPr>
              <w:t>1</w:t>
            </w:r>
            <w:r>
              <w:rPr>
                <w:sz w:val="18"/>
                <w:szCs w:val="18"/>
              </w:rPr>
              <w:t xml:space="preserve"> Also, the blinding of subjects and therapists was not possible due to the inability to blind these interventions, as all interventions are visually identifiable to participant and therapist. This inability to blind interventions could have led to potential bias and/or a placebo effect. Even though power was excellent in regards to the NRS when comparing EG or SWT with RG, there was still a small number of patients included in this study. The authors found that power was weak when comparing EG and SWT, and in order to reach a power greater than 80%, a sample size of 140 patients per group would be required for adequate statistical analysis.</w:t>
            </w:r>
            <w:r>
              <w:rPr>
                <w:sz w:val="18"/>
                <w:szCs w:val="18"/>
                <w:vertAlign w:val="superscript"/>
              </w:rPr>
              <w:t>1</w:t>
            </w:r>
            <w:r>
              <w:rPr>
                <w:sz w:val="18"/>
                <w:szCs w:val="18"/>
              </w:rPr>
              <w:t>. Nevertheless, all outcome measures used in this study were appropriate. The interventions used were well designed by the authors; however, there was a lack of standardization of the eccentric exercise group. The eccentric group was given instructions on their exercise protocol at baseline, and assessed once again after 6 weeks. This may lead one to question the true clinical significance of this intervention</w:t>
            </w:r>
            <w:r w:rsidR="00615FD6">
              <w:rPr>
                <w:sz w:val="18"/>
                <w:szCs w:val="18"/>
              </w:rPr>
              <w:t xml:space="preserve">, seeing as </w:t>
            </w:r>
            <w:proofErr w:type="gramStart"/>
            <w:r w:rsidR="00615FD6">
              <w:rPr>
                <w:sz w:val="18"/>
                <w:szCs w:val="18"/>
              </w:rPr>
              <w:t>many patients are treated by their therapist on a weekly basis</w:t>
            </w:r>
            <w:proofErr w:type="gramEnd"/>
            <w:r>
              <w:rPr>
                <w:sz w:val="18"/>
                <w:szCs w:val="18"/>
              </w:rPr>
              <w:t xml:space="preserve">. Although it was implicated that participants documented each treatment session on standardized forms, compliance to the eccentric intervention was not reported. This leaves one to wonder how much exercise the patients performed during this intervention. If the compliance forms demonstrated a lack in compliance, it would be plausible to conclude that the results for EG are lower than what is presented in this article. Follow-up measures of tendon diameter were also missing in the original paper. Of the 5 patients lost to follow-up, the last set of data provided by each patient was used to complete outcome analysis. There is one aspect of the article that is particularly confusing, possibly due to the wording: one of the outcomes assessed was “load-induced pain,” which was not defined in great detail. In one section of the article they describe pain assessment as the severity of the patient’s main complaint, pain during the day, and inconvenience, but load-induced pain was never mentioned. Lastly, it should be noted that the intervention period was 12-weeks long but the follow-up occurred at 16 weeks. This leaves 4 weeks after the intervention period in which we are unsure of what activities the participants are doing. An assessment of outcome should have been performed immediately after the 12-week intervention period, as well as at 16 weeks. </w:t>
            </w:r>
          </w:p>
          <w:p w14:paraId="36767541" w14:textId="77777777" w:rsidR="001D4F60" w:rsidRPr="00580607" w:rsidRDefault="001D4F60" w:rsidP="00306C83">
            <w:pPr>
              <w:spacing w:before="120" w:after="120"/>
              <w:rPr>
                <w:sz w:val="18"/>
                <w:szCs w:val="18"/>
              </w:rPr>
            </w:pPr>
          </w:p>
        </w:tc>
      </w:tr>
      <w:tr w:rsidR="001D4F60" w:rsidRPr="002F16E1" w14:paraId="1ED10F1F" w14:textId="77777777" w:rsidTr="001D4F60">
        <w:tc>
          <w:tcPr>
            <w:tcW w:w="10421" w:type="dxa"/>
            <w:shd w:val="clear" w:color="auto" w:fill="auto"/>
          </w:tcPr>
          <w:p w14:paraId="4EC3EFF3"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4DD9279A"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6345E9A7" w14:textId="77777777" w:rsidTr="001D4F60">
        <w:tc>
          <w:tcPr>
            <w:tcW w:w="10421" w:type="dxa"/>
            <w:tcBorders>
              <w:bottom w:val="single" w:sz="4" w:space="0" w:color="auto"/>
            </w:tcBorders>
            <w:shd w:val="clear" w:color="auto" w:fill="auto"/>
          </w:tcPr>
          <w:p w14:paraId="336D98D0" w14:textId="77777777" w:rsidR="00306C83" w:rsidRDefault="00306C83" w:rsidP="00306C83">
            <w:pPr>
              <w:pStyle w:val="ListParagraph"/>
              <w:numPr>
                <w:ilvl w:val="0"/>
                <w:numId w:val="19"/>
              </w:numPr>
              <w:spacing w:before="120" w:after="120"/>
              <w:rPr>
                <w:sz w:val="18"/>
                <w:szCs w:val="18"/>
              </w:rPr>
            </w:pPr>
            <w:r>
              <w:rPr>
                <w:sz w:val="18"/>
                <w:szCs w:val="18"/>
              </w:rPr>
              <w:t xml:space="preserve">This study provides evidence that eccentric loading and SWT have superior results compared to rest, and demonstrated significantly better results on the VISA-A score, general assessment, load-induced pain, and pain threshold at 4-months follow-up. </w:t>
            </w:r>
          </w:p>
          <w:p w14:paraId="0E8C3ED5" w14:textId="77777777" w:rsidR="00306C83" w:rsidRDefault="00306C83" w:rsidP="00306C83">
            <w:pPr>
              <w:pStyle w:val="ListParagraph"/>
              <w:numPr>
                <w:ilvl w:val="0"/>
                <w:numId w:val="19"/>
              </w:numPr>
              <w:spacing w:before="120" w:after="120"/>
              <w:rPr>
                <w:sz w:val="18"/>
                <w:szCs w:val="18"/>
              </w:rPr>
            </w:pPr>
            <w:r>
              <w:rPr>
                <w:sz w:val="18"/>
                <w:szCs w:val="18"/>
              </w:rPr>
              <w:t>Improvements from baseline in tenderness were statistically significant in all three groups (P&lt;</w:t>
            </w:r>
            <w:proofErr w:type="gramStart"/>
            <w:r>
              <w:rPr>
                <w:sz w:val="18"/>
                <w:szCs w:val="18"/>
              </w:rPr>
              <w:t>.001</w:t>
            </w:r>
            <w:proofErr w:type="gramEnd"/>
            <w:r>
              <w:rPr>
                <w:sz w:val="18"/>
                <w:szCs w:val="18"/>
              </w:rPr>
              <w:t>).</w:t>
            </w:r>
          </w:p>
          <w:p w14:paraId="35531EA3" w14:textId="77777777" w:rsidR="00306C83" w:rsidRDefault="00306C83" w:rsidP="00306C83">
            <w:pPr>
              <w:pStyle w:val="ListParagraph"/>
              <w:numPr>
                <w:ilvl w:val="0"/>
                <w:numId w:val="19"/>
              </w:numPr>
              <w:spacing w:before="120" w:after="120"/>
              <w:rPr>
                <w:sz w:val="18"/>
                <w:szCs w:val="18"/>
              </w:rPr>
            </w:pPr>
            <w:r>
              <w:rPr>
                <w:sz w:val="18"/>
                <w:szCs w:val="18"/>
              </w:rPr>
              <w:t xml:space="preserve">MCID was estimated for each outcome by using half of the baseline standard deviation. The MCID scores indicate the smallest change in the outcome measure that is needed to demonstrate benefit to the patient. For example, the MCID for the VISA-A outcome in the EG is 9.35. This </w:t>
            </w:r>
            <w:proofErr w:type="gramStart"/>
            <w:r>
              <w:rPr>
                <w:sz w:val="18"/>
                <w:szCs w:val="18"/>
              </w:rPr>
              <w:t>would</w:t>
            </w:r>
            <w:proofErr w:type="gramEnd"/>
            <w:r>
              <w:rPr>
                <w:sz w:val="18"/>
                <w:szCs w:val="18"/>
              </w:rPr>
              <w:t xml:space="preserve"> indicate </w:t>
            </w:r>
            <w:proofErr w:type="gramStart"/>
            <w:r>
              <w:rPr>
                <w:sz w:val="18"/>
                <w:szCs w:val="18"/>
              </w:rPr>
              <w:t>that the patient needs</w:t>
            </w:r>
            <w:proofErr w:type="gramEnd"/>
            <w:r>
              <w:rPr>
                <w:sz w:val="18"/>
                <w:szCs w:val="18"/>
              </w:rPr>
              <w:t xml:space="preserve"> to improve their score by at least 9.35 points to be considered as having a beneficial change from the intervention. </w:t>
            </w:r>
          </w:p>
          <w:p w14:paraId="50CB21F7" w14:textId="77777777" w:rsidR="00306C83" w:rsidRDefault="00306C83" w:rsidP="00306C83">
            <w:pPr>
              <w:pStyle w:val="ListParagraph"/>
              <w:numPr>
                <w:ilvl w:val="0"/>
                <w:numId w:val="19"/>
              </w:numPr>
              <w:spacing w:before="120" w:after="120"/>
              <w:rPr>
                <w:sz w:val="18"/>
                <w:szCs w:val="18"/>
              </w:rPr>
            </w:pPr>
            <w:r>
              <w:rPr>
                <w:b/>
                <w:sz w:val="18"/>
                <w:szCs w:val="18"/>
              </w:rPr>
              <w:t>VISA-A:</w:t>
            </w:r>
            <w:r>
              <w:rPr>
                <w:sz w:val="18"/>
                <w:szCs w:val="18"/>
              </w:rPr>
              <w:t xml:space="preserve"> EG and SWT obtained significantly better results than patients from RG (all P&lt;</w:t>
            </w:r>
            <w:proofErr w:type="gramStart"/>
            <w:r>
              <w:rPr>
                <w:sz w:val="18"/>
                <w:szCs w:val="18"/>
              </w:rPr>
              <w:t>.001</w:t>
            </w:r>
            <w:proofErr w:type="gramEnd"/>
            <w:r>
              <w:rPr>
                <w:sz w:val="18"/>
                <w:szCs w:val="18"/>
              </w:rPr>
              <w:t>; power=0.99), telling me that EG and SWT are more effective than RG in producing better results according to the VISA-A. The Cohen’s effect size was large (d=1.28) between EG and RG; large between SWT and RG (d=1.05); small between EG and SWT (d=0.30). This tells me that the magnitude of difference between EG and SWT were greater compared to RG. Furthermore, it indicates that there was not much difference in magnitude between EG and SWT, therefore not clinically meaningful. MCID: EG = 9.35; SWT = 8.15; RG = 6.45</w:t>
            </w:r>
          </w:p>
          <w:p w14:paraId="1BE2D6E7" w14:textId="77777777" w:rsidR="00306C83" w:rsidRDefault="00306C83" w:rsidP="00306C83">
            <w:pPr>
              <w:pStyle w:val="ListParagraph"/>
              <w:numPr>
                <w:ilvl w:val="0"/>
                <w:numId w:val="19"/>
              </w:numPr>
              <w:spacing w:before="120" w:after="120"/>
              <w:rPr>
                <w:sz w:val="18"/>
                <w:szCs w:val="18"/>
              </w:rPr>
            </w:pPr>
            <w:r>
              <w:rPr>
                <w:b/>
                <w:sz w:val="18"/>
                <w:szCs w:val="18"/>
              </w:rPr>
              <w:t xml:space="preserve">General assessment: </w:t>
            </w:r>
            <w:r>
              <w:rPr>
                <w:sz w:val="18"/>
                <w:szCs w:val="18"/>
              </w:rPr>
              <w:t>EG and SWT obtained significantly better results than patients from RG (P&lt;</w:t>
            </w:r>
            <w:proofErr w:type="gramStart"/>
            <w:r>
              <w:rPr>
                <w:sz w:val="18"/>
                <w:szCs w:val="18"/>
              </w:rPr>
              <w:t>.001</w:t>
            </w:r>
            <w:proofErr w:type="gramEnd"/>
            <w:r>
              <w:rPr>
                <w:sz w:val="18"/>
                <w:szCs w:val="18"/>
              </w:rPr>
              <w:t xml:space="preserve">; P=.001), telling me that EG and SWT are more effective than RG in producing better results according to </w:t>
            </w:r>
            <w:proofErr w:type="spellStart"/>
            <w:r>
              <w:rPr>
                <w:sz w:val="18"/>
                <w:szCs w:val="18"/>
              </w:rPr>
              <w:t>Likert</w:t>
            </w:r>
            <w:proofErr w:type="spellEnd"/>
            <w:r>
              <w:rPr>
                <w:sz w:val="18"/>
                <w:szCs w:val="18"/>
              </w:rPr>
              <w:t xml:space="preserve"> scores on the general assessment. There was a large Cohen’s effect size (d=-1.03) between EG and RG; large between SWT and RG (d=-0.99); and no effect between EG and SWT (d=-0.13). This tells me that the magnitude of difference between EG and SWT were greater compared to RG and that there was no difference in magnitude between EG and SWT, therefore not clinically meaningful. MCID: EC = 0.75; SWT = 0.75; RG = 0.8.</w:t>
            </w:r>
          </w:p>
          <w:p w14:paraId="685B0B0C" w14:textId="77777777" w:rsidR="00306C83" w:rsidRDefault="00306C83" w:rsidP="00306C83">
            <w:pPr>
              <w:pStyle w:val="ListParagraph"/>
              <w:numPr>
                <w:ilvl w:val="0"/>
                <w:numId w:val="19"/>
              </w:numPr>
              <w:spacing w:before="120" w:after="120"/>
              <w:rPr>
                <w:sz w:val="18"/>
                <w:szCs w:val="18"/>
              </w:rPr>
            </w:pPr>
            <w:r>
              <w:rPr>
                <w:b/>
                <w:sz w:val="18"/>
                <w:szCs w:val="18"/>
              </w:rPr>
              <w:t xml:space="preserve">Load-induced pain: </w:t>
            </w:r>
            <w:r>
              <w:rPr>
                <w:sz w:val="18"/>
                <w:szCs w:val="18"/>
              </w:rPr>
              <w:t>EG and SWT demonstrated significantly better results than patients from RG (all P&lt;</w:t>
            </w:r>
            <w:proofErr w:type="gramStart"/>
            <w:r>
              <w:rPr>
                <w:sz w:val="18"/>
                <w:szCs w:val="18"/>
              </w:rPr>
              <w:t>.001</w:t>
            </w:r>
            <w:proofErr w:type="gramEnd"/>
            <w:r>
              <w:rPr>
                <w:sz w:val="18"/>
                <w:szCs w:val="18"/>
              </w:rPr>
              <w:t xml:space="preserve">), telling me that EG and SWT are more effective than RG in decreasing pain during loading according to the NRS. The Cohen’s effect size was large (d=-1.11) between EG and RG; large between </w:t>
            </w:r>
            <w:r>
              <w:rPr>
                <w:sz w:val="18"/>
                <w:szCs w:val="18"/>
              </w:rPr>
              <w:lastRenderedPageBreak/>
              <w:t>SWT and RG (d=-0.95); and no effect between EG and SWT (d=-0.18). This tells me that the magnitude of difference between EG and SWT were greater compared to RG, and that EG and SWT had no difference in magnitude, therefore showed no clinical meaningfulness. MCID: EG = 1.15; SWT = 1.1; RG = 0.9</w:t>
            </w:r>
          </w:p>
          <w:p w14:paraId="07C3AEDE" w14:textId="77777777" w:rsidR="00306C83" w:rsidRDefault="00306C83" w:rsidP="00306C83">
            <w:pPr>
              <w:pStyle w:val="ListParagraph"/>
              <w:numPr>
                <w:ilvl w:val="0"/>
                <w:numId w:val="19"/>
              </w:numPr>
              <w:spacing w:before="120" w:after="120"/>
              <w:rPr>
                <w:sz w:val="18"/>
                <w:szCs w:val="18"/>
              </w:rPr>
            </w:pPr>
            <w:r>
              <w:rPr>
                <w:b/>
                <w:sz w:val="18"/>
                <w:szCs w:val="18"/>
              </w:rPr>
              <w:t xml:space="preserve">Pain threshold: </w:t>
            </w:r>
            <w:r>
              <w:rPr>
                <w:sz w:val="18"/>
                <w:szCs w:val="18"/>
              </w:rPr>
              <w:t>EG and SWT demonstrated significantly better results than patients from RG (P&lt;</w:t>
            </w:r>
            <w:proofErr w:type="gramStart"/>
            <w:r>
              <w:rPr>
                <w:sz w:val="18"/>
                <w:szCs w:val="18"/>
              </w:rPr>
              <w:t>.001</w:t>
            </w:r>
            <w:proofErr w:type="gramEnd"/>
            <w:r>
              <w:rPr>
                <w:sz w:val="18"/>
                <w:szCs w:val="18"/>
              </w:rPr>
              <w:t>; P=.008), which tells me that EG and SWT are more effective than RG in increasing pain tolerance when pressure is applied to the Achilles tendon. The Cohen’s effect size was large (d=0.95) between EG and RG; large between SWT and RG (d=-0.94); and small between EG and SWT (d=0.30). This tells me that the magnitude of difference between EG and SWT were greater compared to RG, and that EG and SWT had similar sized differences and were not clinically meaningful. MCID: EG = 0.55; SWT = 0.45; RG = 0.50</w:t>
            </w:r>
          </w:p>
          <w:p w14:paraId="79183683" w14:textId="77777777" w:rsidR="00306C83" w:rsidRDefault="00306C83" w:rsidP="00306C83">
            <w:pPr>
              <w:pStyle w:val="ListParagraph"/>
              <w:numPr>
                <w:ilvl w:val="0"/>
                <w:numId w:val="19"/>
              </w:numPr>
              <w:spacing w:before="120" w:after="120"/>
              <w:rPr>
                <w:sz w:val="18"/>
                <w:szCs w:val="18"/>
              </w:rPr>
            </w:pPr>
            <w:r>
              <w:rPr>
                <w:b/>
                <w:sz w:val="18"/>
                <w:szCs w:val="18"/>
              </w:rPr>
              <w:t>Tenderness:</w:t>
            </w:r>
            <w:r>
              <w:rPr>
                <w:sz w:val="18"/>
                <w:szCs w:val="18"/>
              </w:rPr>
              <w:t xml:space="preserve"> All groups showed improvements at 4-month follow up that were statistically significant (all P&lt;</w:t>
            </w:r>
            <w:proofErr w:type="gramStart"/>
            <w:r>
              <w:rPr>
                <w:sz w:val="18"/>
                <w:szCs w:val="18"/>
              </w:rPr>
              <w:t>.001</w:t>
            </w:r>
            <w:proofErr w:type="gramEnd"/>
            <w:r>
              <w:rPr>
                <w:sz w:val="18"/>
                <w:szCs w:val="18"/>
              </w:rPr>
              <w:t xml:space="preserve">); however, between-group differences were not statistically significant. The Cohen’s effect size was moderate (d=-0.46) between EG and RG; small between SWT and RG (d=-0.30); and small between EG and SWT (d=-0.22). This tells </w:t>
            </w:r>
            <w:proofErr w:type="gramStart"/>
            <w:r>
              <w:rPr>
                <w:sz w:val="18"/>
                <w:szCs w:val="18"/>
              </w:rPr>
              <w:t>me that the magnitude of difference was not clinically meaningful except for moderately between EG and RG</w:t>
            </w:r>
            <w:proofErr w:type="gramEnd"/>
            <w:r>
              <w:rPr>
                <w:sz w:val="18"/>
                <w:szCs w:val="18"/>
              </w:rPr>
              <w:t>. MCID: EG = 1.95; SWT = 2.1; RG = 3.5</w:t>
            </w:r>
          </w:p>
          <w:p w14:paraId="44D16C3B" w14:textId="56D0033B" w:rsidR="001D4F60" w:rsidRPr="00306C83" w:rsidRDefault="00306C83" w:rsidP="009E380F">
            <w:pPr>
              <w:pStyle w:val="ListParagraph"/>
              <w:numPr>
                <w:ilvl w:val="0"/>
                <w:numId w:val="19"/>
              </w:numPr>
              <w:spacing w:before="120" w:after="120"/>
              <w:rPr>
                <w:sz w:val="18"/>
                <w:szCs w:val="18"/>
              </w:rPr>
            </w:pPr>
            <w:r>
              <w:rPr>
                <w:b/>
                <w:sz w:val="18"/>
                <w:szCs w:val="18"/>
              </w:rPr>
              <w:t>Tendon diameter:</w:t>
            </w:r>
            <w:r>
              <w:rPr>
                <w:sz w:val="18"/>
                <w:szCs w:val="18"/>
              </w:rPr>
              <w:t xml:space="preserve"> This data was not provided in the study; however, the author states, “no group showed significant changes of the dimensions of the Achilles tendon of the affected leg compared with baseline ultrasound measurement.” (</w:t>
            </w:r>
            <w:proofErr w:type="spellStart"/>
            <w:r>
              <w:rPr>
                <w:sz w:val="18"/>
                <w:szCs w:val="18"/>
              </w:rPr>
              <w:t>Rompe</w:t>
            </w:r>
            <w:proofErr w:type="spellEnd"/>
            <w:r>
              <w:rPr>
                <w:sz w:val="18"/>
                <w:szCs w:val="18"/>
              </w:rPr>
              <w:t xml:space="preserve"> et al., 2007, p. 380)</w:t>
            </w:r>
          </w:p>
          <w:p w14:paraId="3131EC60" w14:textId="77777777" w:rsidR="001D4F60" w:rsidRPr="00580607" w:rsidRDefault="001D4F60" w:rsidP="009E380F">
            <w:pPr>
              <w:spacing w:before="120" w:after="120"/>
              <w:jc w:val="right"/>
              <w:rPr>
                <w:sz w:val="18"/>
                <w:szCs w:val="18"/>
              </w:rPr>
            </w:pPr>
          </w:p>
        </w:tc>
      </w:tr>
    </w:tbl>
    <w:p w14:paraId="0C219026" w14:textId="77777777" w:rsidR="001D4F60" w:rsidRDefault="001D4F60" w:rsidP="001D4F60">
      <w:pPr>
        <w:spacing w:before="240" w:after="240"/>
        <w:rPr>
          <w:b/>
          <w:sz w:val="18"/>
          <w:szCs w:val="18"/>
        </w:rPr>
      </w:pPr>
    </w:p>
    <w:p w14:paraId="7EA3CB88" w14:textId="3531DFAC" w:rsidR="001D4F60" w:rsidRDefault="001D4F60" w:rsidP="001D4F60">
      <w:pPr>
        <w:spacing w:before="240" w:after="240"/>
        <w:rPr>
          <w:b/>
          <w:sz w:val="18"/>
          <w:szCs w:val="18"/>
        </w:rPr>
      </w:pPr>
      <w:r>
        <w:rPr>
          <w:b/>
          <w:sz w:val="18"/>
          <w:szCs w:val="18"/>
        </w:rPr>
        <w:t xml:space="preserve">(2) </w:t>
      </w:r>
      <w:r w:rsidR="009D6FFF">
        <w:rPr>
          <w:b/>
          <w:sz w:val="18"/>
          <w:szCs w:val="18"/>
        </w:rPr>
        <w:t>Description and appraisal of</w:t>
      </w:r>
      <w:r w:rsidR="00551718">
        <w:rPr>
          <w:b/>
          <w:sz w:val="18"/>
          <w:szCs w:val="18"/>
        </w:rPr>
        <w:t>:</w:t>
      </w:r>
      <w:r w:rsidR="009D6FFF">
        <w:rPr>
          <w:b/>
          <w:sz w:val="18"/>
          <w:szCs w:val="18"/>
        </w:rPr>
        <w:t xml:space="preserve"> Clinical improvement after 6 weeks of eccentric exercise in patients with mid-portion Achilles </w:t>
      </w:r>
      <w:proofErr w:type="spellStart"/>
      <w:r w:rsidR="009D6FFF">
        <w:rPr>
          <w:b/>
          <w:sz w:val="18"/>
          <w:szCs w:val="18"/>
        </w:rPr>
        <w:t>tendinopathy</w:t>
      </w:r>
      <w:proofErr w:type="spellEnd"/>
      <w:r w:rsidR="001C0D9F">
        <w:rPr>
          <w:b/>
          <w:sz w:val="18"/>
          <w:szCs w:val="18"/>
        </w:rPr>
        <w:t xml:space="preserve"> – a randomized trial with 1-year follow-up</w:t>
      </w:r>
      <w:r w:rsidRPr="001D4F60">
        <w:rPr>
          <w:b/>
          <w:sz w:val="18"/>
          <w:szCs w:val="18"/>
        </w:rPr>
        <w:t xml:space="preserve"> by </w:t>
      </w:r>
      <w:proofErr w:type="spellStart"/>
      <w:r w:rsidR="001C0D9F">
        <w:rPr>
          <w:b/>
          <w:sz w:val="18"/>
          <w:szCs w:val="18"/>
        </w:rPr>
        <w:t>Roos</w:t>
      </w:r>
      <w:proofErr w:type="spellEnd"/>
      <w:r w:rsidR="001C0D9F">
        <w:rPr>
          <w:b/>
          <w:sz w:val="18"/>
          <w:szCs w:val="18"/>
        </w:rPr>
        <w:t xml:space="preserve"> EM, </w:t>
      </w:r>
      <w:proofErr w:type="spellStart"/>
      <w:r w:rsidR="001C0D9F">
        <w:rPr>
          <w:b/>
          <w:sz w:val="18"/>
          <w:szCs w:val="18"/>
        </w:rPr>
        <w:t>Engstrom</w:t>
      </w:r>
      <w:proofErr w:type="spellEnd"/>
      <w:r w:rsidR="001C0D9F">
        <w:rPr>
          <w:b/>
          <w:sz w:val="18"/>
          <w:szCs w:val="18"/>
        </w:rPr>
        <w:t xml:space="preserve"> M, </w:t>
      </w:r>
      <w:proofErr w:type="spellStart"/>
      <w:r w:rsidR="001C0D9F">
        <w:rPr>
          <w:b/>
          <w:sz w:val="18"/>
          <w:szCs w:val="18"/>
        </w:rPr>
        <w:t>Langerquist</w:t>
      </w:r>
      <w:proofErr w:type="spellEnd"/>
      <w:r w:rsidR="001C0D9F">
        <w:rPr>
          <w:b/>
          <w:sz w:val="18"/>
          <w:szCs w:val="18"/>
        </w:rPr>
        <w:t xml:space="preserve"> A, et al. (2004)</w:t>
      </w:r>
    </w:p>
    <w:p w14:paraId="0B5EDB40" w14:textId="77777777" w:rsidR="009D6FFF" w:rsidRDefault="009D6FFF" w:rsidP="001D4F60">
      <w:pPr>
        <w:spacing w:before="240" w:after="24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99CE402" w14:textId="77777777" w:rsidTr="009E380F">
        <w:tc>
          <w:tcPr>
            <w:tcW w:w="10421" w:type="dxa"/>
            <w:shd w:val="clear" w:color="auto" w:fill="E6E6E6"/>
          </w:tcPr>
          <w:p w14:paraId="6CC4166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5285FCC0" w14:textId="77777777" w:rsidTr="009E380F">
        <w:tc>
          <w:tcPr>
            <w:tcW w:w="10421" w:type="dxa"/>
            <w:tcBorders>
              <w:bottom w:val="single" w:sz="4" w:space="0" w:color="auto"/>
            </w:tcBorders>
            <w:shd w:val="clear" w:color="auto" w:fill="auto"/>
          </w:tcPr>
          <w:p w14:paraId="52E3F22C" w14:textId="69167BD3" w:rsidR="001D4F60" w:rsidRPr="002F16E1" w:rsidRDefault="00277BC1" w:rsidP="009E380F">
            <w:pPr>
              <w:spacing w:before="120" w:after="120"/>
              <w:rPr>
                <w:sz w:val="18"/>
                <w:szCs w:val="18"/>
              </w:rPr>
            </w:pPr>
            <w:r>
              <w:rPr>
                <w:sz w:val="18"/>
                <w:szCs w:val="18"/>
              </w:rPr>
              <w:t xml:space="preserve">The aim of this study was to determine if eccentric calf exercises, prolonged stretching with the use of a night splint, or a combination of both is beneficial for decreasing pain and improving function in patients with mid-portion Achilles </w:t>
            </w:r>
            <w:proofErr w:type="spellStart"/>
            <w:r>
              <w:rPr>
                <w:sz w:val="18"/>
                <w:szCs w:val="18"/>
              </w:rPr>
              <w:t>tendinopathy</w:t>
            </w:r>
            <w:proofErr w:type="spellEnd"/>
            <w:r>
              <w:rPr>
                <w:sz w:val="18"/>
                <w:szCs w:val="18"/>
              </w:rPr>
              <w:t xml:space="preserve">. </w:t>
            </w:r>
          </w:p>
          <w:p w14:paraId="708251B8" w14:textId="77777777" w:rsidR="001D4F60" w:rsidRPr="002F16E1" w:rsidRDefault="001D4F60" w:rsidP="00306C83">
            <w:pPr>
              <w:spacing w:before="120" w:after="120"/>
              <w:rPr>
                <w:sz w:val="18"/>
                <w:szCs w:val="18"/>
              </w:rPr>
            </w:pPr>
          </w:p>
        </w:tc>
      </w:tr>
      <w:tr w:rsidR="001D4F60" w:rsidRPr="002F16E1" w14:paraId="70EC3833" w14:textId="77777777" w:rsidTr="009E380F">
        <w:tc>
          <w:tcPr>
            <w:tcW w:w="10421" w:type="dxa"/>
            <w:shd w:val="clear" w:color="auto" w:fill="E6E6E6"/>
          </w:tcPr>
          <w:p w14:paraId="19E13CF5" w14:textId="5DED6A77" w:rsidR="001D4F60" w:rsidRPr="00FB0D4B" w:rsidRDefault="001D4F60" w:rsidP="009E380F">
            <w:pPr>
              <w:spacing w:before="120" w:after="120"/>
              <w:jc w:val="both"/>
              <w:rPr>
                <w:b/>
                <w:sz w:val="18"/>
                <w:szCs w:val="18"/>
              </w:rPr>
            </w:pPr>
            <w:r w:rsidRPr="002F16E1">
              <w:rPr>
                <w:b/>
                <w:sz w:val="18"/>
                <w:szCs w:val="18"/>
              </w:rPr>
              <w:t>Study Design</w:t>
            </w:r>
          </w:p>
        </w:tc>
      </w:tr>
      <w:tr w:rsidR="001D4F60" w:rsidRPr="002F16E1" w14:paraId="7975265F" w14:textId="77777777" w:rsidTr="009E380F">
        <w:tc>
          <w:tcPr>
            <w:tcW w:w="10421" w:type="dxa"/>
            <w:tcBorders>
              <w:bottom w:val="single" w:sz="4" w:space="0" w:color="auto"/>
            </w:tcBorders>
            <w:shd w:val="clear" w:color="auto" w:fill="auto"/>
          </w:tcPr>
          <w:p w14:paraId="3134FB62" w14:textId="513A61E7" w:rsidR="001D4F60" w:rsidRDefault="009D6FFF" w:rsidP="009D6FFF">
            <w:pPr>
              <w:pStyle w:val="ListParagraph"/>
              <w:numPr>
                <w:ilvl w:val="0"/>
                <w:numId w:val="14"/>
              </w:numPr>
              <w:spacing w:before="120" w:after="120"/>
              <w:rPr>
                <w:sz w:val="18"/>
                <w:szCs w:val="18"/>
              </w:rPr>
            </w:pPr>
            <w:r>
              <w:rPr>
                <w:sz w:val="18"/>
                <w:szCs w:val="18"/>
              </w:rPr>
              <w:t>Randomized controlled trial</w:t>
            </w:r>
          </w:p>
          <w:p w14:paraId="47A847BC" w14:textId="39A6CE2E" w:rsidR="009D6FFF" w:rsidRDefault="001D165C" w:rsidP="009D6FFF">
            <w:pPr>
              <w:pStyle w:val="ListParagraph"/>
              <w:numPr>
                <w:ilvl w:val="0"/>
                <w:numId w:val="14"/>
              </w:numPr>
              <w:spacing w:before="120" w:after="120"/>
              <w:rPr>
                <w:sz w:val="18"/>
                <w:szCs w:val="18"/>
              </w:rPr>
            </w:pPr>
            <w:r>
              <w:rPr>
                <w:sz w:val="18"/>
                <w:szCs w:val="18"/>
              </w:rPr>
              <w:t>Participants were randomly assigned using a concealed allocation method to one of thre</w:t>
            </w:r>
            <w:r w:rsidR="009653E4">
              <w:rPr>
                <w:sz w:val="18"/>
                <w:szCs w:val="18"/>
              </w:rPr>
              <w:t>e 12-week interventions. The examiner randomized the patients by selecting an envelope from a box holding 60 randomly ordered envelopes (20 envelopes for each treatment group).</w:t>
            </w:r>
          </w:p>
          <w:p w14:paraId="7ACA1766" w14:textId="7E6F2563" w:rsidR="009653E4" w:rsidRDefault="009653E4" w:rsidP="009D6FFF">
            <w:pPr>
              <w:pStyle w:val="ListParagraph"/>
              <w:numPr>
                <w:ilvl w:val="0"/>
                <w:numId w:val="14"/>
              </w:numPr>
              <w:spacing w:before="120" w:after="120"/>
              <w:rPr>
                <w:sz w:val="18"/>
                <w:szCs w:val="18"/>
              </w:rPr>
            </w:pPr>
            <w:r>
              <w:rPr>
                <w:sz w:val="18"/>
                <w:szCs w:val="18"/>
              </w:rPr>
              <w:t xml:space="preserve">The interventions were eccentric </w:t>
            </w:r>
            <w:r w:rsidR="00206380">
              <w:rPr>
                <w:sz w:val="18"/>
                <w:szCs w:val="18"/>
              </w:rPr>
              <w:t xml:space="preserve">calf </w:t>
            </w:r>
            <w:r>
              <w:rPr>
                <w:sz w:val="18"/>
                <w:szCs w:val="18"/>
              </w:rPr>
              <w:t>exercises</w:t>
            </w:r>
            <w:r w:rsidR="00206380">
              <w:rPr>
                <w:sz w:val="18"/>
                <w:szCs w:val="18"/>
              </w:rPr>
              <w:t xml:space="preserve"> (N=16), eccentric calf exercises and night splint (N=15), or night splint only (N=13).</w:t>
            </w:r>
          </w:p>
          <w:p w14:paraId="2B97FCB5" w14:textId="08D32881" w:rsidR="009E353E" w:rsidRPr="009E353E" w:rsidRDefault="009E353E" w:rsidP="009E353E">
            <w:pPr>
              <w:pStyle w:val="ListParagraph"/>
              <w:numPr>
                <w:ilvl w:val="0"/>
                <w:numId w:val="14"/>
              </w:numPr>
              <w:spacing w:before="120" w:after="120"/>
              <w:rPr>
                <w:sz w:val="18"/>
                <w:szCs w:val="18"/>
              </w:rPr>
            </w:pPr>
            <w:proofErr w:type="gramStart"/>
            <w:r>
              <w:rPr>
                <w:sz w:val="18"/>
                <w:szCs w:val="18"/>
              </w:rPr>
              <w:t>A baseline clinical examination was completed by one examiner to ensure an a</w:t>
            </w:r>
            <w:r w:rsidR="00365AA6">
              <w:rPr>
                <w:sz w:val="18"/>
                <w:szCs w:val="18"/>
              </w:rPr>
              <w:t>ccurate</w:t>
            </w:r>
            <w:r>
              <w:rPr>
                <w:sz w:val="18"/>
                <w:szCs w:val="18"/>
              </w:rPr>
              <w:t xml:space="preserve"> diagnosis of </w:t>
            </w:r>
            <w:proofErr w:type="spellStart"/>
            <w:r>
              <w:rPr>
                <w:sz w:val="18"/>
                <w:szCs w:val="18"/>
              </w:rPr>
              <w:t>midportion</w:t>
            </w:r>
            <w:proofErr w:type="spellEnd"/>
            <w:r>
              <w:rPr>
                <w:sz w:val="18"/>
                <w:szCs w:val="18"/>
              </w:rPr>
              <w:t xml:space="preserve"> (non-</w:t>
            </w:r>
            <w:proofErr w:type="spellStart"/>
            <w:r>
              <w:rPr>
                <w:sz w:val="18"/>
                <w:szCs w:val="18"/>
              </w:rPr>
              <w:t>insertional</w:t>
            </w:r>
            <w:proofErr w:type="spellEnd"/>
            <w:r>
              <w:rPr>
                <w:sz w:val="18"/>
                <w:szCs w:val="18"/>
              </w:rPr>
              <w:t xml:space="preserve">) Achilles </w:t>
            </w:r>
            <w:proofErr w:type="spellStart"/>
            <w:r>
              <w:rPr>
                <w:sz w:val="18"/>
                <w:szCs w:val="18"/>
              </w:rPr>
              <w:t>tendinopathy</w:t>
            </w:r>
            <w:proofErr w:type="spellEnd"/>
            <w:proofErr w:type="gramEnd"/>
            <w:r>
              <w:rPr>
                <w:sz w:val="18"/>
                <w:szCs w:val="18"/>
              </w:rPr>
              <w:t xml:space="preserve">. This same examiner randomized the patients to </w:t>
            </w:r>
            <w:r w:rsidR="0058715F">
              <w:rPr>
                <w:sz w:val="18"/>
                <w:szCs w:val="18"/>
              </w:rPr>
              <w:t xml:space="preserve">treatment groups. </w:t>
            </w:r>
            <w:r>
              <w:rPr>
                <w:sz w:val="18"/>
                <w:szCs w:val="18"/>
              </w:rPr>
              <w:t xml:space="preserve"> </w:t>
            </w:r>
          </w:p>
          <w:p w14:paraId="08FA44A0" w14:textId="47CACDA2" w:rsidR="00206380" w:rsidRDefault="009E353E" w:rsidP="009D6FFF">
            <w:pPr>
              <w:pStyle w:val="ListParagraph"/>
              <w:numPr>
                <w:ilvl w:val="0"/>
                <w:numId w:val="14"/>
              </w:numPr>
              <w:spacing w:before="120" w:after="120"/>
              <w:rPr>
                <w:sz w:val="18"/>
                <w:szCs w:val="18"/>
              </w:rPr>
            </w:pPr>
            <w:r>
              <w:rPr>
                <w:sz w:val="18"/>
                <w:szCs w:val="18"/>
              </w:rPr>
              <w:t>Outcomes were measured via patient-administered questionnaire at baseline, and at 6, 12, 26 and 52 weeks after start of the treatment.</w:t>
            </w:r>
          </w:p>
          <w:p w14:paraId="068D6555" w14:textId="77777777" w:rsidR="001D4F60" w:rsidRPr="002F16E1" w:rsidRDefault="001D4F60" w:rsidP="00306C83">
            <w:pPr>
              <w:spacing w:before="120" w:after="120"/>
              <w:rPr>
                <w:sz w:val="18"/>
                <w:szCs w:val="18"/>
              </w:rPr>
            </w:pPr>
          </w:p>
        </w:tc>
      </w:tr>
      <w:tr w:rsidR="001D4F60" w:rsidRPr="002F16E1" w14:paraId="5682D7D5" w14:textId="77777777" w:rsidTr="009E380F">
        <w:tc>
          <w:tcPr>
            <w:tcW w:w="10421" w:type="dxa"/>
            <w:shd w:val="clear" w:color="auto" w:fill="E6E6E6"/>
          </w:tcPr>
          <w:p w14:paraId="32BEA313" w14:textId="248DBB06" w:rsidR="001D4F60" w:rsidRPr="00FB0D4B" w:rsidRDefault="001D4F60" w:rsidP="00FB0D4B">
            <w:pPr>
              <w:spacing w:before="120" w:after="120"/>
              <w:rPr>
                <w:b/>
                <w:sz w:val="18"/>
                <w:szCs w:val="18"/>
              </w:rPr>
            </w:pPr>
            <w:r w:rsidRPr="002F16E1">
              <w:rPr>
                <w:b/>
                <w:sz w:val="18"/>
                <w:szCs w:val="18"/>
              </w:rPr>
              <w:t>Setting</w:t>
            </w:r>
          </w:p>
        </w:tc>
      </w:tr>
      <w:tr w:rsidR="001D4F60" w:rsidRPr="002F16E1" w14:paraId="7A6E3F0B" w14:textId="77777777" w:rsidTr="009E380F">
        <w:tc>
          <w:tcPr>
            <w:tcW w:w="10421" w:type="dxa"/>
            <w:tcBorders>
              <w:bottom w:val="single" w:sz="4" w:space="0" w:color="auto"/>
            </w:tcBorders>
            <w:shd w:val="clear" w:color="auto" w:fill="auto"/>
          </w:tcPr>
          <w:p w14:paraId="48B35C00" w14:textId="21FF7631" w:rsidR="001D4F60" w:rsidRPr="002F16E1" w:rsidRDefault="007836A9" w:rsidP="009E380F">
            <w:pPr>
              <w:spacing w:before="120" w:after="120"/>
              <w:rPr>
                <w:sz w:val="18"/>
                <w:szCs w:val="18"/>
              </w:rPr>
            </w:pPr>
            <w:r>
              <w:rPr>
                <w:sz w:val="18"/>
                <w:szCs w:val="18"/>
              </w:rPr>
              <w:t xml:space="preserve">Patients seeking treatment for insidious onset of Achilles </w:t>
            </w:r>
            <w:proofErr w:type="spellStart"/>
            <w:r>
              <w:rPr>
                <w:sz w:val="18"/>
                <w:szCs w:val="18"/>
              </w:rPr>
              <w:t>tendinopathy</w:t>
            </w:r>
            <w:proofErr w:type="spellEnd"/>
            <w:r>
              <w:rPr>
                <w:sz w:val="18"/>
                <w:szCs w:val="18"/>
              </w:rPr>
              <w:t xml:space="preserve"> in the primary care setting were recruited by one of 23 primary care physicians in Helsingborg, Sweden. Once these recruiting primary care physicians determined that their patients met the written inclusion criteria for this study, they were referred to one examiner</w:t>
            </w:r>
            <w:r w:rsidR="00551718">
              <w:rPr>
                <w:sz w:val="18"/>
                <w:szCs w:val="18"/>
              </w:rPr>
              <w:t>. The study does</w:t>
            </w:r>
            <w:r w:rsidR="00496AAE">
              <w:rPr>
                <w:sz w:val="18"/>
                <w:szCs w:val="18"/>
              </w:rPr>
              <w:t xml:space="preserve"> not indicated what setting the </w:t>
            </w:r>
            <w:r w:rsidR="00551718">
              <w:rPr>
                <w:sz w:val="18"/>
                <w:szCs w:val="18"/>
              </w:rPr>
              <w:t>intervention was provided</w:t>
            </w:r>
            <w:r w:rsidR="00496AAE">
              <w:rPr>
                <w:sz w:val="18"/>
                <w:szCs w:val="18"/>
              </w:rPr>
              <w:t xml:space="preserve">. </w:t>
            </w:r>
          </w:p>
          <w:p w14:paraId="23DD435E" w14:textId="77777777" w:rsidR="001D4F60" w:rsidRPr="002F16E1" w:rsidRDefault="001D4F60" w:rsidP="009E380F">
            <w:pPr>
              <w:spacing w:before="120" w:after="120"/>
              <w:jc w:val="right"/>
              <w:rPr>
                <w:sz w:val="18"/>
                <w:szCs w:val="18"/>
              </w:rPr>
            </w:pPr>
          </w:p>
        </w:tc>
      </w:tr>
      <w:tr w:rsidR="001D4F60" w:rsidRPr="002F16E1" w14:paraId="4A75C101" w14:textId="77777777" w:rsidTr="009E380F">
        <w:tc>
          <w:tcPr>
            <w:tcW w:w="10421" w:type="dxa"/>
            <w:shd w:val="clear" w:color="auto" w:fill="E6E6E6"/>
          </w:tcPr>
          <w:p w14:paraId="62B8111F" w14:textId="54C665C8" w:rsidR="001D4F60" w:rsidRPr="00FB0D4B" w:rsidRDefault="001D4F60" w:rsidP="009E380F">
            <w:pPr>
              <w:spacing w:before="120" w:after="120"/>
              <w:rPr>
                <w:b/>
                <w:sz w:val="18"/>
                <w:szCs w:val="18"/>
              </w:rPr>
            </w:pPr>
            <w:r w:rsidRPr="002F16E1">
              <w:rPr>
                <w:b/>
                <w:sz w:val="18"/>
                <w:szCs w:val="18"/>
              </w:rPr>
              <w:t>Participants</w:t>
            </w:r>
          </w:p>
        </w:tc>
      </w:tr>
      <w:tr w:rsidR="001D4F60" w:rsidRPr="002F16E1" w14:paraId="524561F4" w14:textId="77777777" w:rsidTr="009E380F">
        <w:tc>
          <w:tcPr>
            <w:tcW w:w="10421" w:type="dxa"/>
            <w:tcBorders>
              <w:bottom w:val="single" w:sz="4" w:space="0" w:color="auto"/>
            </w:tcBorders>
            <w:shd w:val="clear" w:color="auto" w:fill="auto"/>
          </w:tcPr>
          <w:p w14:paraId="227A2F0A" w14:textId="73977E37" w:rsidR="001D4F60" w:rsidRDefault="00DC7CC1" w:rsidP="00DC7CC1">
            <w:pPr>
              <w:pStyle w:val="ListParagraph"/>
              <w:numPr>
                <w:ilvl w:val="0"/>
                <w:numId w:val="21"/>
              </w:numPr>
              <w:spacing w:before="120" w:after="120"/>
              <w:rPr>
                <w:sz w:val="18"/>
                <w:szCs w:val="18"/>
              </w:rPr>
            </w:pPr>
            <w:r>
              <w:rPr>
                <w:sz w:val="18"/>
                <w:szCs w:val="18"/>
              </w:rPr>
              <w:t>To be included in the study the participants had to be 20-60 years of</w:t>
            </w:r>
            <w:r w:rsidR="006B1A74">
              <w:rPr>
                <w:sz w:val="18"/>
                <w:szCs w:val="18"/>
              </w:rPr>
              <w:t xml:space="preserve"> age who normally participate in physical activity. Their symptoms of pain during physical activity were required to be present for more than 4 weeks. Furthermore, symptoms of pain were required to be 2-6cm proximal of the insertion to be identified as non-</w:t>
            </w:r>
            <w:proofErr w:type="spellStart"/>
            <w:r w:rsidR="006B1A74">
              <w:rPr>
                <w:sz w:val="18"/>
                <w:szCs w:val="18"/>
              </w:rPr>
              <w:t>insertional</w:t>
            </w:r>
            <w:proofErr w:type="spellEnd"/>
            <w:r w:rsidR="006B1A74">
              <w:rPr>
                <w:sz w:val="18"/>
                <w:szCs w:val="18"/>
              </w:rPr>
              <w:t xml:space="preserve"> (</w:t>
            </w:r>
            <w:proofErr w:type="spellStart"/>
            <w:r w:rsidR="006B1A74">
              <w:rPr>
                <w:sz w:val="18"/>
                <w:szCs w:val="18"/>
              </w:rPr>
              <w:t>midportion</w:t>
            </w:r>
            <w:proofErr w:type="spellEnd"/>
            <w:r w:rsidR="006B1A74">
              <w:rPr>
                <w:sz w:val="18"/>
                <w:szCs w:val="18"/>
              </w:rPr>
              <w:t xml:space="preserve">) Achilles </w:t>
            </w:r>
            <w:proofErr w:type="spellStart"/>
            <w:r w:rsidR="006B1A74">
              <w:rPr>
                <w:sz w:val="18"/>
                <w:szCs w:val="18"/>
              </w:rPr>
              <w:t>tendinopathy</w:t>
            </w:r>
            <w:proofErr w:type="spellEnd"/>
            <w:r w:rsidR="006B1A74">
              <w:rPr>
                <w:sz w:val="18"/>
                <w:szCs w:val="18"/>
              </w:rPr>
              <w:t>.</w:t>
            </w:r>
          </w:p>
          <w:p w14:paraId="1E49B8ED" w14:textId="4CF2A817" w:rsidR="00EA3A5E" w:rsidRDefault="00EA3A5E" w:rsidP="00DC7CC1">
            <w:pPr>
              <w:pStyle w:val="ListParagraph"/>
              <w:numPr>
                <w:ilvl w:val="0"/>
                <w:numId w:val="21"/>
              </w:numPr>
              <w:spacing w:before="120" w:after="120"/>
              <w:rPr>
                <w:sz w:val="18"/>
                <w:szCs w:val="18"/>
              </w:rPr>
            </w:pPr>
            <w:r>
              <w:rPr>
                <w:sz w:val="18"/>
                <w:szCs w:val="18"/>
              </w:rPr>
              <w:lastRenderedPageBreak/>
              <w:t xml:space="preserve">A </w:t>
            </w:r>
            <w:proofErr w:type="spellStart"/>
            <w:r>
              <w:rPr>
                <w:sz w:val="18"/>
                <w:szCs w:val="18"/>
              </w:rPr>
              <w:t>nonprobabilistic</w:t>
            </w:r>
            <w:proofErr w:type="spellEnd"/>
            <w:r>
              <w:rPr>
                <w:sz w:val="18"/>
                <w:szCs w:val="18"/>
              </w:rPr>
              <w:t xml:space="preserve"> sampling method was used – purposive </w:t>
            </w:r>
          </w:p>
          <w:p w14:paraId="3B689DE6" w14:textId="28B74ED4" w:rsidR="006B1A74" w:rsidRDefault="006B1A74" w:rsidP="00DC7CC1">
            <w:pPr>
              <w:pStyle w:val="ListParagraph"/>
              <w:numPr>
                <w:ilvl w:val="0"/>
                <w:numId w:val="21"/>
              </w:numPr>
              <w:spacing w:before="120" w:after="120"/>
              <w:rPr>
                <w:sz w:val="18"/>
                <w:szCs w:val="18"/>
              </w:rPr>
            </w:pPr>
            <w:r>
              <w:rPr>
                <w:sz w:val="18"/>
                <w:szCs w:val="18"/>
              </w:rPr>
              <w:t>This study included 44 patients,</w:t>
            </w:r>
            <w:r w:rsidR="00D623B6">
              <w:rPr>
                <w:sz w:val="18"/>
                <w:szCs w:val="18"/>
              </w:rPr>
              <w:t xml:space="preserve"> 23 females and 21 males. All participants presented with pain and swelling 2-6cm proximally to the Achilles tendon, confirming a</w:t>
            </w:r>
            <w:r>
              <w:rPr>
                <w:sz w:val="18"/>
                <w:szCs w:val="18"/>
              </w:rPr>
              <w:t xml:space="preserve"> diagnosis of </w:t>
            </w:r>
            <w:proofErr w:type="spellStart"/>
            <w:r>
              <w:rPr>
                <w:sz w:val="18"/>
                <w:szCs w:val="18"/>
              </w:rPr>
              <w:t>midportion</w:t>
            </w:r>
            <w:proofErr w:type="spellEnd"/>
            <w:r>
              <w:rPr>
                <w:sz w:val="18"/>
                <w:szCs w:val="18"/>
              </w:rPr>
              <w:t xml:space="preserve"> Achilles </w:t>
            </w:r>
            <w:proofErr w:type="spellStart"/>
            <w:r>
              <w:rPr>
                <w:sz w:val="18"/>
                <w:szCs w:val="18"/>
              </w:rPr>
              <w:t>tendinopathy</w:t>
            </w:r>
            <w:proofErr w:type="spellEnd"/>
            <w:r>
              <w:rPr>
                <w:sz w:val="18"/>
                <w:szCs w:val="18"/>
              </w:rPr>
              <w:t xml:space="preserve">. </w:t>
            </w:r>
            <w:r w:rsidR="00EA3A5E">
              <w:rPr>
                <w:sz w:val="18"/>
                <w:szCs w:val="18"/>
              </w:rPr>
              <w:t>Eccentric calf exercise group (N=16), eccentric calf exercises and night splint group (N=15), and night splint only group (N=13).</w:t>
            </w:r>
          </w:p>
          <w:p w14:paraId="78776DA5" w14:textId="18B65399" w:rsidR="00EA3A5E" w:rsidRDefault="00EA3A5E" w:rsidP="00DC7CC1">
            <w:pPr>
              <w:pStyle w:val="ListParagraph"/>
              <w:numPr>
                <w:ilvl w:val="0"/>
                <w:numId w:val="21"/>
              </w:numPr>
              <w:spacing w:before="120" w:after="120"/>
              <w:rPr>
                <w:sz w:val="18"/>
                <w:szCs w:val="18"/>
              </w:rPr>
            </w:pPr>
            <w:r>
              <w:rPr>
                <w:sz w:val="18"/>
                <w:szCs w:val="18"/>
              </w:rPr>
              <w:t>Mean age for all participants: 46 (range, 26-60 years). Mean ages for each group was not provided.</w:t>
            </w:r>
          </w:p>
          <w:p w14:paraId="14275313" w14:textId="5AF22DDF" w:rsidR="00EA3A5E" w:rsidRDefault="00EA3A5E" w:rsidP="00DC7CC1">
            <w:pPr>
              <w:pStyle w:val="ListParagraph"/>
              <w:numPr>
                <w:ilvl w:val="0"/>
                <w:numId w:val="21"/>
              </w:numPr>
              <w:spacing w:before="120" w:after="120"/>
              <w:rPr>
                <w:sz w:val="18"/>
                <w:szCs w:val="18"/>
              </w:rPr>
            </w:pPr>
            <w:r>
              <w:rPr>
                <w:sz w:val="18"/>
                <w:szCs w:val="18"/>
              </w:rPr>
              <w:t>Median symptom duration was 5.5 months (range, 1-180 months). 86% reported symptoms &gt; 3 months.</w:t>
            </w:r>
          </w:p>
          <w:p w14:paraId="76EDEA09" w14:textId="20384FDC" w:rsidR="00232DA9" w:rsidRDefault="00232DA9" w:rsidP="00DC7CC1">
            <w:pPr>
              <w:pStyle w:val="ListParagraph"/>
              <w:numPr>
                <w:ilvl w:val="0"/>
                <w:numId w:val="21"/>
              </w:numPr>
              <w:spacing w:before="120" w:after="120"/>
              <w:rPr>
                <w:sz w:val="18"/>
                <w:szCs w:val="18"/>
              </w:rPr>
            </w:pPr>
            <w:r>
              <w:rPr>
                <w:sz w:val="18"/>
                <w:szCs w:val="18"/>
              </w:rPr>
              <w:t>65% of patients were involved in sports before current symptoms, 86% of patients reported pain daily or always, and 14% reported having pain on a weekly basis.</w:t>
            </w:r>
          </w:p>
          <w:p w14:paraId="43AAB5C7" w14:textId="64917243" w:rsidR="00EA3A5E" w:rsidRDefault="00D134DD" w:rsidP="00DC7CC1">
            <w:pPr>
              <w:pStyle w:val="ListParagraph"/>
              <w:numPr>
                <w:ilvl w:val="0"/>
                <w:numId w:val="21"/>
              </w:numPr>
              <w:spacing w:before="120" w:after="120"/>
              <w:rPr>
                <w:sz w:val="18"/>
                <w:szCs w:val="18"/>
              </w:rPr>
            </w:pPr>
            <w:r>
              <w:rPr>
                <w:sz w:val="18"/>
                <w:szCs w:val="18"/>
              </w:rPr>
              <w:t>There were n</w:t>
            </w:r>
            <w:r w:rsidR="00D623B6">
              <w:rPr>
                <w:sz w:val="18"/>
                <w:szCs w:val="18"/>
              </w:rPr>
              <w:t xml:space="preserve">o significant differences in </w:t>
            </w:r>
            <w:r>
              <w:rPr>
                <w:sz w:val="18"/>
                <w:szCs w:val="18"/>
              </w:rPr>
              <w:t>key demographics at baseline (</w:t>
            </w:r>
            <w:r w:rsidR="00D623B6">
              <w:rPr>
                <w:sz w:val="18"/>
                <w:szCs w:val="18"/>
              </w:rPr>
              <w:t>age, sex, activity level, or symptom duration between the groups</w:t>
            </w:r>
            <w:r>
              <w:rPr>
                <w:sz w:val="18"/>
                <w:szCs w:val="18"/>
              </w:rPr>
              <w:t>)</w:t>
            </w:r>
            <w:r w:rsidR="00D623B6">
              <w:rPr>
                <w:sz w:val="18"/>
                <w:szCs w:val="18"/>
              </w:rPr>
              <w:t xml:space="preserve">. The only difference noted was seen in the patients randomized to the splint group who reported significantly better foot and ankle-related quality of life at baseline. </w:t>
            </w:r>
          </w:p>
          <w:p w14:paraId="7C2EFDDF" w14:textId="66CC1FD7" w:rsidR="001D4F60" w:rsidRPr="00904A2B" w:rsidRDefault="00D134DD" w:rsidP="009E380F">
            <w:pPr>
              <w:pStyle w:val="ListParagraph"/>
              <w:numPr>
                <w:ilvl w:val="0"/>
                <w:numId w:val="21"/>
              </w:numPr>
              <w:spacing w:before="120" w:after="120"/>
              <w:rPr>
                <w:sz w:val="18"/>
                <w:szCs w:val="18"/>
              </w:rPr>
            </w:pPr>
            <w:r>
              <w:rPr>
                <w:sz w:val="18"/>
                <w:szCs w:val="18"/>
              </w:rPr>
              <w:t xml:space="preserve">33 patients were available for follow-up at 12 weeks and 35 patients were available for follow-up at 52 weeks. </w:t>
            </w:r>
          </w:p>
          <w:p w14:paraId="31CE4BF9" w14:textId="77777777" w:rsidR="001D4F60" w:rsidRPr="002F16E1" w:rsidRDefault="001D4F60" w:rsidP="009E380F">
            <w:pPr>
              <w:spacing w:before="120" w:after="120"/>
              <w:jc w:val="right"/>
              <w:rPr>
                <w:sz w:val="18"/>
                <w:szCs w:val="18"/>
              </w:rPr>
            </w:pPr>
          </w:p>
        </w:tc>
      </w:tr>
      <w:tr w:rsidR="001D4F60" w:rsidRPr="002F16E1" w14:paraId="4238F637" w14:textId="77777777" w:rsidTr="009E380F">
        <w:tc>
          <w:tcPr>
            <w:tcW w:w="10421" w:type="dxa"/>
            <w:shd w:val="clear" w:color="auto" w:fill="E6E6E6"/>
          </w:tcPr>
          <w:p w14:paraId="01D0CC44" w14:textId="388C6CAC" w:rsidR="001D4F60" w:rsidRPr="00FB0D4B"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2774BA8A" w14:textId="77777777" w:rsidTr="009E380F">
        <w:tc>
          <w:tcPr>
            <w:tcW w:w="10421" w:type="dxa"/>
            <w:shd w:val="clear" w:color="auto" w:fill="auto"/>
          </w:tcPr>
          <w:p w14:paraId="1E4A6796" w14:textId="45FECA44" w:rsidR="001D4F60" w:rsidRPr="002F16E1" w:rsidRDefault="001D4F60" w:rsidP="009E380F">
            <w:pPr>
              <w:spacing w:before="120" w:after="120"/>
              <w:rPr>
                <w:i/>
                <w:sz w:val="18"/>
                <w:szCs w:val="18"/>
              </w:rPr>
            </w:pPr>
            <w:r w:rsidRPr="002F16E1">
              <w:rPr>
                <w:i/>
                <w:sz w:val="18"/>
                <w:szCs w:val="18"/>
              </w:rPr>
              <w:t>Control</w:t>
            </w:r>
            <w:r w:rsidR="00DC7CC1">
              <w:rPr>
                <w:i/>
                <w:sz w:val="18"/>
                <w:szCs w:val="18"/>
              </w:rPr>
              <w:t xml:space="preserve"> – Eccentric exercises + night splint</w:t>
            </w:r>
          </w:p>
        </w:tc>
      </w:tr>
      <w:tr w:rsidR="001D4F60" w:rsidRPr="002F16E1" w14:paraId="3FA7BDA9" w14:textId="77777777" w:rsidTr="009E380F">
        <w:tc>
          <w:tcPr>
            <w:tcW w:w="10421" w:type="dxa"/>
            <w:shd w:val="clear" w:color="auto" w:fill="auto"/>
          </w:tcPr>
          <w:p w14:paraId="4424F9D4" w14:textId="0B79643B" w:rsidR="001D4F60" w:rsidRPr="00904A2B" w:rsidRDefault="00DC7CC1" w:rsidP="00DC7CC1">
            <w:pPr>
              <w:pStyle w:val="ListParagraph"/>
              <w:numPr>
                <w:ilvl w:val="0"/>
                <w:numId w:val="20"/>
              </w:numPr>
              <w:spacing w:before="120" w:after="120"/>
              <w:rPr>
                <w:sz w:val="18"/>
                <w:szCs w:val="18"/>
              </w:rPr>
            </w:pPr>
            <w:r>
              <w:rPr>
                <w:b/>
                <w:sz w:val="18"/>
                <w:szCs w:val="18"/>
              </w:rPr>
              <w:t>Eccen</w:t>
            </w:r>
            <w:r w:rsidR="00904A2B">
              <w:rPr>
                <w:b/>
                <w:sz w:val="18"/>
                <w:szCs w:val="18"/>
              </w:rPr>
              <w:t xml:space="preserve">tric exercises + night splint </w:t>
            </w:r>
            <w:r w:rsidR="003D6AC7">
              <w:rPr>
                <w:b/>
                <w:sz w:val="18"/>
                <w:szCs w:val="18"/>
              </w:rPr>
              <w:t>group</w:t>
            </w:r>
            <w:r w:rsidR="00AE2BBD">
              <w:rPr>
                <w:b/>
                <w:sz w:val="18"/>
                <w:szCs w:val="18"/>
              </w:rPr>
              <w:t xml:space="preserve"> </w:t>
            </w:r>
            <w:r w:rsidR="00904A2B">
              <w:rPr>
                <w:b/>
                <w:sz w:val="18"/>
                <w:szCs w:val="18"/>
              </w:rPr>
              <w:t>(EN</w:t>
            </w:r>
            <w:r w:rsidR="009A232F">
              <w:rPr>
                <w:b/>
                <w:sz w:val="18"/>
                <w:szCs w:val="18"/>
              </w:rPr>
              <w:t>S</w:t>
            </w:r>
            <w:r>
              <w:rPr>
                <w:b/>
                <w:sz w:val="18"/>
                <w:szCs w:val="18"/>
              </w:rPr>
              <w:t>)</w:t>
            </w:r>
          </w:p>
          <w:p w14:paraId="3FEE673A" w14:textId="1AA6AD98" w:rsidR="00904A2B" w:rsidRPr="00DC7CC1" w:rsidRDefault="00904A2B" w:rsidP="00DC7CC1">
            <w:pPr>
              <w:pStyle w:val="ListParagraph"/>
              <w:numPr>
                <w:ilvl w:val="0"/>
                <w:numId w:val="20"/>
              </w:numPr>
              <w:spacing w:before="120" w:after="120"/>
              <w:rPr>
                <w:sz w:val="18"/>
                <w:szCs w:val="18"/>
              </w:rPr>
            </w:pPr>
            <w:r>
              <w:rPr>
                <w:sz w:val="18"/>
                <w:szCs w:val="18"/>
              </w:rPr>
              <w:t>This group performed both interventions. The interventions are explained in greater detail below.</w:t>
            </w:r>
          </w:p>
          <w:p w14:paraId="2828C8B0" w14:textId="77777777" w:rsidR="001D4F60" w:rsidRPr="002F16E1" w:rsidRDefault="001D4F60" w:rsidP="009E380F">
            <w:pPr>
              <w:spacing w:before="120" w:after="120"/>
              <w:rPr>
                <w:sz w:val="18"/>
                <w:szCs w:val="18"/>
              </w:rPr>
            </w:pPr>
          </w:p>
        </w:tc>
      </w:tr>
      <w:tr w:rsidR="001D4F60" w:rsidRPr="002F16E1" w14:paraId="783A5DD1" w14:textId="77777777" w:rsidTr="009E380F">
        <w:tc>
          <w:tcPr>
            <w:tcW w:w="10421" w:type="dxa"/>
            <w:shd w:val="clear" w:color="auto" w:fill="auto"/>
          </w:tcPr>
          <w:p w14:paraId="2123DF4D" w14:textId="51174F7E" w:rsidR="001D4F60" w:rsidRPr="002F16E1" w:rsidRDefault="001D4F60" w:rsidP="009E380F">
            <w:pPr>
              <w:spacing w:before="120" w:after="120"/>
              <w:rPr>
                <w:i/>
                <w:sz w:val="18"/>
                <w:szCs w:val="18"/>
              </w:rPr>
            </w:pPr>
            <w:r w:rsidRPr="002F16E1">
              <w:rPr>
                <w:i/>
                <w:sz w:val="18"/>
                <w:szCs w:val="18"/>
              </w:rPr>
              <w:t>Experimental</w:t>
            </w:r>
            <w:r w:rsidR="00DC7CC1">
              <w:rPr>
                <w:i/>
                <w:sz w:val="18"/>
                <w:szCs w:val="18"/>
              </w:rPr>
              <w:t xml:space="preserve"> – Eccentric exercises and night splint</w:t>
            </w:r>
          </w:p>
        </w:tc>
      </w:tr>
      <w:tr w:rsidR="001D4F60" w:rsidRPr="002F16E1" w14:paraId="543A68DB" w14:textId="77777777" w:rsidTr="009E380F">
        <w:tc>
          <w:tcPr>
            <w:tcW w:w="10421" w:type="dxa"/>
            <w:tcBorders>
              <w:bottom w:val="single" w:sz="4" w:space="0" w:color="auto"/>
            </w:tcBorders>
            <w:shd w:val="clear" w:color="auto" w:fill="auto"/>
          </w:tcPr>
          <w:p w14:paraId="722E1AC0" w14:textId="1A861E5A" w:rsidR="001D4F60" w:rsidRPr="00904A2B" w:rsidRDefault="003D6AC7" w:rsidP="00DC7CC1">
            <w:pPr>
              <w:pStyle w:val="ListParagraph"/>
              <w:numPr>
                <w:ilvl w:val="0"/>
                <w:numId w:val="20"/>
              </w:numPr>
              <w:spacing w:before="120" w:after="120"/>
              <w:rPr>
                <w:sz w:val="18"/>
                <w:szCs w:val="18"/>
              </w:rPr>
            </w:pPr>
            <w:r>
              <w:rPr>
                <w:b/>
                <w:sz w:val="18"/>
                <w:szCs w:val="18"/>
              </w:rPr>
              <w:t>Eccentric exercise group</w:t>
            </w:r>
            <w:r w:rsidR="00DC7CC1">
              <w:rPr>
                <w:b/>
                <w:sz w:val="18"/>
                <w:szCs w:val="18"/>
              </w:rPr>
              <w:t xml:space="preserve"> (EE)</w:t>
            </w:r>
          </w:p>
          <w:p w14:paraId="075E71BF" w14:textId="3AA4F780" w:rsidR="00904A2B" w:rsidRDefault="003D6AC7" w:rsidP="00DC7CC1">
            <w:pPr>
              <w:pStyle w:val="ListParagraph"/>
              <w:numPr>
                <w:ilvl w:val="0"/>
                <w:numId w:val="20"/>
              </w:numPr>
              <w:spacing w:before="120" w:after="120"/>
              <w:rPr>
                <w:sz w:val="18"/>
                <w:szCs w:val="18"/>
              </w:rPr>
            </w:pPr>
            <w:r>
              <w:rPr>
                <w:sz w:val="18"/>
                <w:szCs w:val="18"/>
              </w:rPr>
              <w:t>All patients were instructed how to perform the eccentric exercises by one physical therapist.</w:t>
            </w:r>
          </w:p>
          <w:p w14:paraId="65B7BC98" w14:textId="1E913B1D" w:rsidR="003D6AC7" w:rsidRDefault="003D6AC7" w:rsidP="00DC7CC1">
            <w:pPr>
              <w:pStyle w:val="ListParagraph"/>
              <w:numPr>
                <w:ilvl w:val="0"/>
                <w:numId w:val="20"/>
              </w:numPr>
              <w:spacing w:before="120" w:after="120"/>
              <w:rPr>
                <w:sz w:val="18"/>
                <w:szCs w:val="18"/>
              </w:rPr>
            </w:pPr>
            <w:r>
              <w:rPr>
                <w:sz w:val="18"/>
                <w:szCs w:val="18"/>
              </w:rPr>
              <w:t xml:space="preserve">Eccentric loading was performed standing upright on a step with full body weight on the forefoot of the affected leg. The starting position was full </w:t>
            </w:r>
            <w:proofErr w:type="spellStart"/>
            <w:r>
              <w:rPr>
                <w:sz w:val="18"/>
                <w:szCs w:val="18"/>
              </w:rPr>
              <w:t>plantarflexion</w:t>
            </w:r>
            <w:proofErr w:type="spellEnd"/>
            <w:r>
              <w:rPr>
                <w:sz w:val="18"/>
                <w:szCs w:val="18"/>
              </w:rPr>
              <w:t xml:space="preserve"> of the ankle, and then the calf was loaded by lowering the affected limb into full dorsiflexion. They were to return to full </w:t>
            </w:r>
            <w:proofErr w:type="spellStart"/>
            <w:r>
              <w:rPr>
                <w:sz w:val="18"/>
                <w:szCs w:val="18"/>
              </w:rPr>
              <w:t>plantarflexion</w:t>
            </w:r>
            <w:proofErr w:type="spellEnd"/>
            <w:r>
              <w:rPr>
                <w:sz w:val="18"/>
                <w:szCs w:val="18"/>
              </w:rPr>
              <w:t xml:space="preserve"> of the affected leg by using their unaffected leg, ensuring no concentric loading was performed.</w:t>
            </w:r>
          </w:p>
          <w:p w14:paraId="055B96A1" w14:textId="5EEA48F9" w:rsidR="00943785" w:rsidRDefault="00AE2BBD" w:rsidP="00DC7CC1">
            <w:pPr>
              <w:pStyle w:val="ListParagraph"/>
              <w:numPr>
                <w:ilvl w:val="0"/>
                <w:numId w:val="20"/>
              </w:numPr>
              <w:spacing w:before="120" w:after="120"/>
              <w:rPr>
                <w:sz w:val="18"/>
                <w:szCs w:val="18"/>
              </w:rPr>
            </w:pPr>
            <w:r>
              <w:rPr>
                <w:sz w:val="18"/>
                <w:szCs w:val="18"/>
              </w:rPr>
              <w:t xml:space="preserve">The patients progressively worked their way up to performing 3 sets of 15 of the eccentric exercises with a straight and bent knee, 2 times per day, 7 days per week for 12 weeks. </w:t>
            </w:r>
          </w:p>
          <w:p w14:paraId="5CFE534E" w14:textId="499AE849" w:rsidR="00AE2BBD" w:rsidRDefault="00AE2BBD" w:rsidP="00DC7CC1">
            <w:pPr>
              <w:pStyle w:val="ListParagraph"/>
              <w:numPr>
                <w:ilvl w:val="0"/>
                <w:numId w:val="20"/>
              </w:numPr>
              <w:spacing w:before="120" w:after="120"/>
              <w:rPr>
                <w:sz w:val="18"/>
                <w:szCs w:val="18"/>
              </w:rPr>
            </w:pPr>
            <w:r>
              <w:rPr>
                <w:sz w:val="18"/>
                <w:szCs w:val="18"/>
              </w:rPr>
              <w:t>In attempts to decrease delayed onset muscle soreness, the first 2 days the patients performed 1 x 15 repetitions; days 3-4 they performed 2 x 15 repetitions; days 5-7 they performed 3 x 15. The exercises were only performed with an extended knee for the first week. The patients were instructed to perform 3 x 15 repetitions with both extended and bent knees at each exercise occasion during weeks 2-12.</w:t>
            </w:r>
          </w:p>
          <w:p w14:paraId="40AA804F" w14:textId="1890C829" w:rsidR="00943785" w:rsidRDefault="00943785" w:rsidP="00DC7CC1">
            <w:pPr>
              <w:pStyle w:val="ListParagraph"/>
              <w:numPr>
                <w:ilvl w:val="0"/>
                <w:numId w:val="20"/>
              </w:numPr>
              <w:spacing w:before="120" w:after="120"/>
              <w:rPr>
                <w:sz w:val="18"/>
                <w:szCs w:val="18"/>
              </w:rPr>
            </w:pPr>
            <w:r>
              <w:rPr>
                <w:sz w:val="18"/>
                <w:szCs w:val="18"/>
              </w:rPr>
              <w:t xml:space="preserve">Initially the patient eccentrically loaded the calf with only their body weight. Patients were encouraged to progress loading by adding books or other weight to a backpack if they were able to perform their exercises without discomfort. </w:t>
            </w:r>
          </w:p>
          <w:p w14:paraId="1C02AAA5" w14:textId="5AB515CC" w:rsidR="00943785" w:rsidRDefault="00943785" w:rsidP="00DC7CC1">
            <w:pPr>
              <w:pStyle w:val="ListParagraph"/>
              <w:numPr>
                <w:ilvl w:val="0"/>
                <w:numId w:val="20"/>
              </w:numPr>
              <w:spacing w:before="120" w:after="120"/>
              <w:rPr>
                <w:sz w:val="18"/>
                <w:szCs w:val="18"/>
              </w:rPr>
            </w:pPr>
            <w:r>
              <w:rPr>
                <w:sz w:val="18"/>
                <w:szCs w:val="18"/>
              </w:rPr>
              <w:t>The patient saw the therapist after 1 week of treatment to discuss any issues with the regimen and to see how the program was performed.</w:t>
            </w:r>
          </w:p>
          <w:p w14:paraId="13B7A833" w14:textId="55EF6164" w:rsidR="00AE2BBD" w:rsidRDefault="00943785" w:rsidP="000503F0">
            <w:pPr>
              <w:pStyle w:val="ListParagraph"/>
              <w:numPr>
                <w:ilvl w:val="0"/>
                <w:numId w:val="20"/>
              </w:numPr>
              <w:spacing w:before="120" w:after="120"/>
              <w:rPr>
                <w:sz w:val="18"/>
                <w:szCs w:val="18"/>
              </w:rPr>
            </w:pPr>
            <w:r>
              <w:rPr>
                <w:sz w:val="18"/>
                <w:szCs w:val="18"/>
              </w:rPr>
              <w:t xml:space="preserve">The therapist contacted the patient via phone after 6 weeks to discuss any issues with the regimen and progressing the intensity of the program. </w:t>
            </w:r>
            <w:r w:rsidR="00AE2BBD">
              <w:rPr>
                <w:sz w:val="18"/>
                <w:szCs w:val="18"/>
              </w:rPr>
              <w:t xml:space="preserve">A manual was also given to the patients at baseline on how to progress the intensity of the program, including contact information for the physical therapist so they could call if they had any questions. </w:t>
            </w:r>
          </w:p>
          <w:p w14:paraId="631C4794" w14:textId="77777777" w:rsidR="006A072A" w:rsidRPr="000503F0" w:rsidRDefault="006A072A" w:rsidP="006A072A">
            <w:pPr>
              <w:pStyle w:val="ListParagraph"/>
              <w:spacing w:before="120" w:after="120"/>
              <w:rPr>
                <w:sz w:val="18"/>
                <w:szCs w:val="18"/>
              </w:rPr>
            </w:pPr>
          </w:p>
          <w:p w14:paraId="5795DA5C" w14:textId="28842A4B" w:rsidR="000503F0" w:rsidRPr="000503F0" w:rsidRDefault="000503F0" w:rsidP="000503F0">
            <w:pPr>
              <w:pStyle w:val="ListParagraph"/>
              <w:numPr>
                <w:ilvl w:val="0"/>
                <w:numId w:val="20"/>
              </w:numPr>
              <w:spacing w:before="120" w:after="120"/>
              <w:rPr>
                <w:sz w:val="18"/>
                <w:szCs w:val="18"/>
              </w:rPr>
            </w:pPr>
            <w:r>
              <w:rPr>
                <w:b/>
                <w:sz w:val="18"/>
                <w:szCs w:val="18"/>
              </w:rPr>
              <w:t>Night splint group (NS):</w:t>
            </w:r>
          </w:p>
          <w:p w14:paraId="5B78132A" w14:textId="2BD347D1" w:rsidR="000503F0" w:rsidRDefault="000503F0" w:rsidP="000503F0">
            <w:pPr>
              <w:pStyle w:val="ListParagraph"/>
              <w:numPr>
                <w:ilvl w:val="0"/>
                <w:numId w:val="20"/>
              </w:numPr>
              <w:spacing w:before="120" w:after="120"/>
              <w:rPr>
                <w:sz w:val="18"/>
                <w:szCs w:val="18"/>
              </w:rPr>
            </w:pPr>
            <w:r>
              <w:rPr>
                <w:sz w:val="18"/>
                <w:szCs w:val="18"/>
              </w:rPr>
              <w:t>An anterior night splint was used to hold the foot in 90 degrees of dorsiflexion.</w:t>
            </w:r>
          </w:p>
          <w:p w14:paraId="23AE1A78" w14:textId="76E2A0D2" w:rsidR="00766133" w:rsidRDefault="00766133" w:rsidP="000503F0">
            <w:pPr>
              <w:pStyle w:val="ListParagraph"/>
              <w:numPr>
                <w:ilvl w:val="0"/>
                <w:numId w:val="20"/>
              </w:numPr>
              <w:spacing w:before="120" w:after="120"/>
              <w:rPr>
                <w:sz w:val="18"/>
                <w:szCs w:val="18"/>
              </w:rPr>
            </w:pPr>
            <w:r>
              <w:rPr>
                <w:sz w:val="18"/>
                <w:szCs w:val="18"/>
              </w:rPr>
              <w:t xml:space="preserve">Patients were instructed on proper donning and doffing of the splint, and to only use it at night while sleeping. </w:t>
            </w:r>
          </w:p>
          <w:p w14:paraId="2D1A968A" w14:textId="6065FC15" w:rsidR="006A072A" w:rsidRDefault="006A072A" w:rsidP="000503F0">
            <w:pPr>
              <w:pStyle w:val="ListParagraph"/>
              <w:numPr>
                <w:ilvl w:val="0"/>
                <w:numId w:val="20"/>
              </w:numPr>
              <w:spacing w:before="120" w:after="120"/>
              <w:rPr>
                <w:sz w:val="18"/>
                <w:szCs w:val="18"/>
              </w:rPr>
            </w:pPr>
            <w:r>
              <w:rPr>
                <w:sz w:val="18"/>
                <w:szCs w:val="18"/>
              </w:rPr>
              <w:t>They were encouraged to use the splint 7 nights per week</w:t>
            </w:r>
            <w:r w:rsidR="00551718">
              <w:rPr>
                <w:sz w:val="18"/>
                <w:szCs w:val="18"/>
              </w:rPr>
              <w:t xml:space="preserve"> for 12 weeks</w:t>
            </w:r>
            <w:r>
              <w:rPr>
                <w:sz w:val="18"/>
                <w:szCs w:val="18"/>
              </w:rPr>
              <w:t xml:space="preserve">. </w:t>
            </w:r>
          </w:p>
          <w:p w14:paraId="4A8AADF5" w14:textId="05E5511D" w:rsidR="001D4F60" w:rsidRPr="006A072A" w:rsidRDefault="00766133" w:rsidP="009E380F">
            <w:pPr>
              <w:pStyle w:val="ListParagraph"/>
              <w:numPr>
                <w:ilvl w:val="0"/>
                <w:numId w:val="20"/>
              </w:numPr>
              <w:spacing w:before="120" w:after="120"/>
              <w:rPr>
                <w:sz w:val="18"/>
                <w:szCs w:val="18"/>
              </w:rPr>
            </w:pPr>
            <w:r>
              <w:rPr>
                <w:sz w:val="18"/>
                <w:szCs w:val="18"/>
              </w:rPr>
              <w:t xml:space="preserve">Issues relating to possible side effects of wearing the splint were also discussed. </w:t>
            </w:r>
          </w:p>
          <w:p w14:paraId="454070F6" w14:textId="77777777" w:rsidR="001D4F60" w:rsidRPr="002F16E1" w:rsidRDefault="001D4F60" w:rsidP="009E380F">
            <w:pPr>
              <w:spacing w:before="120" w:after="120"/>
              <w:jc w:val="right"/>
              <w:rPr>
                <w:sz w:val="18"/>
                <w:szCs w:val="18"/>
              </w:rPr>
            </w:pPr>
          </w:p>
        </w:tc>
      </w:tr>
      <w:tr w:rsidR="001D4F60" w:rsidRPr="002F16E1" w14:paraId="71308C18" w14:textId="77777777" w:rsidTr="009E380F">
        <w:tc>
          <w:tcPr>
            <w:tcW w:w="10421" w:type="dxa"/>
            <w:shd w:val="clear" w:color="auto" w:fill="E6E6E6"/>
          </w:tcPr>
          <w:p w14:paraId="1979D016" w14:textId="57490B91"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3EC1EB96" w14:textId="77777777" w:rsidTr="009E380F">
        <w:tc>
          <w:tcPr>
            <w:tcW w:w="10421" w:type="dxa"/>
            <w:tcBorders>
              <w:bottom w:val="single" w:sz="4" w:space="0" w:color="auto"/>
            </w:tcBorders>
            <w:shd w:val="clear" w:color="auto" w:fill="auto"/>
          </w:tcPr>
          <w:p w14:paraId="6E7B6615" w14:textId="5873ECCF" w:rsidR="001D4F60" w:rsidRDefault="003D6AC7" w:rsidP="009E380F">
            <w:pPr>
              <w:spacing w:before="120" w:after="120"/>
              <w:rPr>
                <w:sz w:val="18"/>
                <w:szCs w:val="18"/>
              </w:rPr>
            </w:pPr>
            <w:r>
              <w:rPr>
                <w:sz w:val="18"/>
                <w:szCs w:val="18"/>
              </w:rPr>
              <w:t>All outcomes were performed at baseline and at 6, 12, 26 and 52 weeks after initiation of treatment via a patient-administered questionnaire.</w:t>
            </w:r>
            <w:r w:rsidR="00394E0E">
              <w:rPr>
                <w:sz w:val="18"/>
                <w:szCs w:val="18"/>
              </w:rPr>
              <w:t xml:space="preserve"> The questionnaire was mailed to the patients and returned by mail to decrease investigator bias.</w:t>
            </w:r>
          </w:p>
          <w:p w14:paraId="150E8F69" w14:textId="6AA058F4" w:rsidR="00394E0E" w:rsidRDefault="00394E0E" w:rsidP="009E380F">
            <w:pPr>
              <w:spacing w:before="120" w:after="120"/>
              <w:rPr>
                <w:sz w:val="18"/>
                <w:szCs w:val="18"/>
              </w:rPr>
            </w:pPr>
          </w:p>
          <w:p w14:paraId="2481701E" w14:textId="0EBAB74C" w:rsidR="00394E0E" w:rsidRDefault="00C30B21" w:rsidP="00C30B21">
            <w:pPr>
              <w:pStyle w:val="ListParagraph"/>
              <w:numPr>
                <w:ilvl w:val="0"/>
                <w:numId w:val="22"/>
              </w:numPr>
              <w:spacing w:before="120" w:after="120"/>
              <w:rPr>
                <w:sz w:val="18"/>
                <w:szCs w:val="18"/>
              </w:rPr>
            </w:pPr>
            <w:r>
              <w:rPr>
                <w:b/>
                <w:sz w:val="18"/>
                <w:szCs w:val="18"/>
              </w:rPr>
              <w:t xml:space="preserve">Foot and ankle outcome score (FAOS): </w:t>
            </w:r>
            <w:r>
              <w:rPr>
                <w:sz w:val="18"/>
                <w:szCs w:val="18"/>
              </w:rPr>
              <w:t>(0-100); has been validated in patients with lateral ankle ligament injury and demonstrated high test-retest reliability.</w:t>
            </w:r>
            <w:r>
              <w:rPr>
                <w:sz w:val="18"/>
                <w:szCs w:val="18"/>
                <w:vertAlign w:val="superscript"/>
              </w:rPr>
              <w:t xml:space="preserve">6 </w:t>
            </w:r>
            <w:r>
              <w:rPr>
                <w:sz w:val="18"/>
                <w:szCs w:val="18"/>
              </w:rPr>
              <w:t xml:space="preserve">Contains five separate subscales (pain, other symptoms, activities of daily living, sport and recreation function, and food and ankle-related </w:t>
            </w:r>
            <w:r>
              <w:rPr>
                <w:sz w:val="18"/>
                <w:szCs w:val="18"/>
              </w:rPr>
              <w:lastRenderedPageBreak/>
              <w:t xml:space="preserve">quality of life. A percentage of 0 to 100 is calculated for each of these subscales, 100 representing the best possible score. </w:t>
            </w:r>
            <w:r w:rsidRPr="00EB1C04">
              <w:rPr>
                <w:i/>
                <w:sz w:val="18"/>
                <w:szCs w:val="18"/>
              </w:rPr>
              <w:t>Pain was considered the primary outcome in this study</w:t>
            </w:r>
            <w:r>
              <w:rPr>
                <w:sz w:val="18"/>
                <w:szCs w:val="18"/>
              </w:rPr>
              <w:t xml:space="preserve">. </w:t>
            </w:r>
          </w:p>
          <w:p w14:paraId="4B53A643" w14:textId="73A4E2B8" w:rsidR="00C30B21" w:rsidRDefault="00C30B21" w:rsidP="00C30B21">
            <w:pPr>
              <w:pStyle w:val="ListParagraph"/>
              <w:numPr>
                <w:ilvl w:val="0"/>
                <w:numId w:val="22"/>
              </w:numPr>
              <w:spacing w:before="120" w:after="120"/>
              <w:rPr>
                <w:sz w:val="18"/>
                <w:szCs w:val="18"/>
              </w:rPr>
            </w:pPr>
            <w:r>
              <w:rPr>
                <w:b/>
                <w:sz w:val="18"/>
                <w:szCs w:val="18"/>
              </w:rPr>
              <w:t>Physical activity level</w:t>
            </w:r>
            <w:r w:rsidR="00C31EC0">
              <w:rPr>
                <w:b/>
                <w:sz w:val="18"/>
                <w:szCs w:val="18"/>
              </w:rPr>
              <w:t>:</w:t>
            </w:r>
            <w:r w:rsidR="00C31EC0">
              <w:rPr>
                <w:sz w:val="18"/>
                <w:szCs w:val="18"/>
              </w:rPr>
              <w:t xml:space="preserve"> (0-6)</w:t>
            </w:r>
            <w:proofErr w:type="gramStart"/>
            <w:r w:rsidR="00C31EC0">
              <w:rPr>
                <w:sz w:val="18"/>
                <w:szCs w:val="18"/>
              </w:rPr>
              <w:t>;</w:t>
            </w:r>
            <w:proofErr w:type="gramEnd"/>
            <w:r w:rsidR="00C31EC0">
              <w:rPr>
                <w:sz w:val="18"/>
                <w:szCs w:val="18"/>
              </w:rPr>
              <w:t xml:space="preserve"> </w:t>
            </w:r>
            <w:r w:rsidR="008D5180">
              <w:rPr>
                <w:sz w:val="18"/>
                <w:szCs w:val="18"/>
              </w:rPr>
              <w:t>used to measure recreational activity. A score of 0 represents recreational activities such as watching TV, reading, and performing no household work. A score of 6 represents competitive sports, such as soccer, racquet sports, track and field, skiing, etc.</w:t>
            </w:r>
          </w:p>
          <w:p w14:paraId="19141FE5" w14:textId="77777777" w:rsidR="009A232F" w:rsidRDefault="009A232F" w:rsidP="00C30B21">
            <w:pPr>
              <w:pStyle w:val="ListParagraph"/>
              <w:numPr>
                <w:ilvl w:val="0"/>
                <w:numId w:val="22"/>
              </w:numPr>
              <w:spacing w:before="120" w:after="120"/>
              <w:rPr>
                <w:sz w:val="18"/>
                <w:szCs w:val="18"/>
              </w:rPr>
            </w:pPr>
            <w:r>
              <w:rPr>
                <w:b/>
                <w:sz w:val="18"/>
                <w:szCs w:val="18"/>
              </w:rPr>
              <w:t>Difficulty during sporting activities:</w:t>
            </w:r>
            <w:r>
              <w:rPr>
                <w:sz w:val="18"/>
                <w:szCs w:val="18"/>
              </w:rPr>
              <w:t xml:space="preserve"> (1-5); a 5-point </w:t>
            </w:r>
            <w:proofErr w:type="spellStart"/>
            <w:r>
              <w:rPr>
                <w:sz w:val="18"/>
                <w:szCs w:val="18"/>
              </w:rPr>
              <w:t>Likert</w:t>
            </w:r>
            <w:proofErr w:type="spellEnd"/>
            <w:r>
              <w:rPr>
                <w:sz w:val="18"/>
                <w:szCs w:val="18"/>
              </w:rPr>
              <w:t xml:space="preserve"> scale was used to assess difficulty during sporting activities (no, mild, moderate, severe, extreme). The answers were categorized into no or mild difficulty and moderate-to-extreme difficulty in order to compare difficulty between treatment groups.</w:t>
            </w:r>
          </w:p>
          <w:p w14:paraId="41B625D3" w14:textId="1129DA1E" w:rsidR="001D4F60" w:rsidRPr="00AD0E49" w:rsidRDefault="009A232F" w:rsidP="009E380F">
            <w:pPr>
              <w:pStyle w:val="ListParagraph"/>
              <w:numPr>
                <w:ilvl w:val="0"/>
                <w:numId w:val="22"/>
              </w:numPr>
              <w:spacing w:before="120" w:after="120"/>
              <w:rPr>
                <w:sz w:val="18"/>
                <w:szCs w:val="18"/>
              </w:rPr>
            </w:pPr>
            <w:r>
              <w:rPr>
                <w:b/>
                <w:sz w:val="18"/>
                <w:szCs w:val="18"/>
              </w:rPr>
              <w:t>Compliance &amp; side effects:</w:t>
            </w:r>
            <w:r>
              <w:rPr>
                <w:sz w:val="18"/>
                <w:szCs w:val="18"/>
              </w:rPr>
              <w:t xml:space="preserve"> patients recorded the treatments they performed on a daily basis, and compliance was assessed on a weekly basis. For the EE group, the authors determined that good compliance was </w:t>
            </w:r>
            <w:r w:rsidR="00AD0E49">
              <w:rPr>
                <w:sz w:val="18"/>
                <w:szCs w:val="18"/>
              </w:rPr>
              <w:t xml:space="preserve">reporting at least 75% (10 exercise sessions per week). For the NS group, compliance was also reporting at least 75% (5 nights per week). Patients in all groups were to also record any side effects, such as soreness, bruising, or sleep disturbances that they experienced during the 12 weeks. This was also evaluated on a weekly basis.  </w:t>
            </w:r>
          </w:p>
          <w:p w14:paraId="03D5DE68" w14:textId="77777777" w:rsidR="001D4F60" w:rsidRPr="002F16E1" w:rsidRDefault="001D4F60" w:rsidP="009E380F">
            <w:pPr>
              <w:spacing w:before="120" w:after="120"/>
              <w:jc w:val="right"/>
              <w:rPr>
                <w:sz w:val="18"/>
                <w:szCs w:val="18"/>
              </w:rPr>
            </w:pPr>
          </w:p>
        </w:tc>
      </w:tr>
      <w:tr w:rsidR="001D4F60" w:rsidRPr="002F16E1" w14:paraId="3CAD1DF4" w14:textId="77777777" w:rsidTr="009E380F">
        <w:tc>
          <w:tcPr>
            <w:tcW w:w="10421" w:type="dxa"/>
            <w:tcBorders>
              <w:bottom w:val="single" w:sz="4" w:space="0" w:color="auto"/>
            </w:tcBorders>
            <w:shd w:val="clear" w:color="auto" w:fill="E6E6E6"/>
          </w:tcPr>
          <w:p w14:paraId="3077AEFD"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7A80DD0C"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03DB0A45" w14:textId="77777777" w:rsidTr="009E380F">
        <w:tc>
          <w:tcPr>
            <w:tcW w:w="10421" w:type="dxa"/>
            <w:tcBorders>
              <w:bottom w:val="single" w:sz="4" w:space="0" w:color="auto"/>
            </w:tcBorders>
            <w:shd w:val="clear" w:color="auto" w:fill="auto"/>
          </w:tcPr>
          <w:p w14:paraId="5862F893" w14:textId="0B0CB06E" w:rsidR="001D4F60" w:rsidRDefault="00431B62" w:rsidP="00431B62">
            <w:pPr>
              <w:pStyle w:val="ListParagraph"/>
              <w:numPr>
                <w:ilvl w:val="0"/>
                <w:numId w:val="23"/>
              </w:numPr>
              <w:spacing w:before="120" w:after="120"/>
              <w:rPr>
                <w:sz w:val="18"/>
                <w:szCs w:val="18"/>
              </w:rPr>
            </w:pPr>
            <w:r>
              <w:rPr>
                <w:sz w:val="18"/>
                <w:szCs w:val="18"/>
              </w:rPr>
              <w:t xml:space="preserve">10 patients were lost to follow-up at 6 weeks; </w:t>
            </w:r>
            <w:r w:rsidR="00FA630B">
              <w:rPr>
                <w:sz w:val="18"/>
                <w:szCs w:val="18"/>
              </w:rPr>
              <w:t>11 patients were lost to follow-up at 12 weeks (after treatment); 9 patients were lost to follow-up at 26 and 52 weeks.</w:t>
            </w:r>
          </w:p>
          <w:p w14:paraId="1063C21E" w14:textId="7CBB4FC2" w:rsidR="00FA630B" w:rsidRDefault="00FA630B" w:rsidP="00431B62">
            <w:pPr>
              <w:pStyle w:val="ListParagraph"/>
              <w:numPr>
                <w:ilvl w:val="0"/>
                <w:numId w:val="23"/>
              </w:numPr>
              <w:spacing w:before="120" w:after="120"/>
              <w:rPr>
                <w:sz w:val="18"/>
                <w:szCs w:val="18"/>
              </w:rPr>
            </w:pPr>
            <w:r>
              <w:rPr>
                <w:sz w:val="18"/>
                <w:szCs w:val="18"/>
              </w:rPr>
              <w:t xml:space="preserve">There were no serious side effects or complications of all patients participating in this study. One patient terminated the use of the night splint because of sleep disturbances. </w:t>
            </w:r>
          </w:p>
          <w:p w14:paraId="38EFBD83" w14:textId="2C924886" w:rsidR="00FA630B" w:rsidRDefault="00FA630B" w:rsidP="00431B62">
            <w:pPr>
              <w:pStyle w:val="ListParagraph"/>
              <w:numPr>
                <w:ilvl w:val="0"/>
                <w:numId w:val="23"/>
              </w:numPr>
              <w:spacing w:before="120" w:after="120"/>
              <w:rPr>
                <w:sz w:val="18"/>
                <w:szCs w:val="18"/>
              </w:rPr>
            </w:pPr>
            <w:r>
              <w:rPr>
                <w:sz w:val="18"/>
                <w:szCs w:val="18"/>
              </w:rPr>
              <w:t>Authors</w:t>
            </w:r>
            <w:r w:rsidR="00BF0DE7">
              <w:rPr>
                <w:sz w:val="18"/>
                <w:szCs w:val="18"/>
              </w:rPr>
              <w:t xml:space="preserve"> determined that “60 patients were needed</w:t>
            </w:r>
            <w:r>
              <w:rPr>
                <w:sz w:val="18"/>
                <w:szCs w:val="18"/>
              </w:rPr>
              <w:t xml:space="preserve"> to detect </w:t>
            </w:r>
            <w:r w:rsidR="00BF0DE7">
              <w:rPr>
                <w:sz w:val="18"/>
                <w:szCs w:val="18"/>
              </w:rPr>
              <w:t>a clinically significant mean score difference of 10 points in the FAOS subscale pain between groups with 80% power at P = 0.05.” (</w:t>
            </w:r>
            <w:proofErr w:type="spellStart"/>
            <w:r w:rsidR="00BF0DE7">
              <w:rPr>
                <w:sz w:val="18"/>
                <w:szCs w:val="18"/>
              </w:rPr>
              <w:t>Roos</w:t>
            </w:r>
            <w:proofErr w:type="spellEnd"/>
            <w:r w:rsidR="00BF0DE7">
              <w:rPr>
                <w:sz w:val="18"/>
                <w:szCs w:val="18"/>
              </w:rPr>
              <w:t xml:space="preserve"> et al, 2004, p. 289).</w:t>
            </w:r>
          </w:p>
          <w:p w14:paraId="25C684B5" w14:textId="22AD8070" w:rsidR="00402E12" w:rsidRDefault="00402E12" w:rsidP="00431B62">
            <w:pPr>
              <w:pStyle w:val="ListParagraph"/>
              <w:numPr>
                <w:ilvl w:val="0"/>
                <w:numId w:val="23"/>
              </w:numPr>
              <w:spacing w:before="120" w:after="120"/>
              <w:rPr>
                <w:sz w:val="18"/>
                <w:szCs w:val="18"/>
              </w:rPr>
            </w:pPr>
            <w:r>
              <w:rPr>
                <w:sz w:val="18"/>
                <w:szCs w:val="18"/>
              </w:rPr>
              <w:t xml:space="preserve">Friedman’s test assessed post treatment change across all times. When Friedman’s test was significant, Wilcoxon’s signed rank test assessed post-treatment change at 6, 12, 26 and 52 weeks compared to baseline. To compare the three groups, the </w:t>
            </w:r>
            <w:proofErr w:type="spellStart"/>
            <w:r>
              <w:rPr>
                <w:sz w:val="18"/>
                <w:szCs w:val="18"/>
              </w:rPr>
              <w:t>Kruskal</w:t>
            </w:r>
            <w:proofErr w:type="spellEnd"/>
            <w:r>
              <w:rPr>
                <w:sz w:val="18"/>
                <w:szCs w:val="18"/>
              </w:rPr>
              <w:t xml:space="preserve">-Wallis test was used. When comparing two groups, the Mann-Whitney U-test was used. To compare proportions, the </w:t>
            </w:r>
            <w:r w:rsidRPr="00402E12">
              <w:rPr>
                <w:i/>
                <w:sz w:val="18"/>
                <w:szCs w:val="18"/>
              </w:rPr>
              <w:t>X</w:t>
            </w:r>
            <w:r>
              <w:rPr>
                <w:sz w:val="18"/>
                <w:szCs w:val="18"/>
                <w:vertAlign w:val="superscript"/>
              </w:rPr>
              <w:t>2</w:t>
            </w:r>
            <w:r>
              <w:rPr>
                <w:sz w:val="18"/>
                <w:szCs w:val="18"/>
              </w:rPr>
              <w:t xml:space="preserve"> test was used.</w:t>
            </w:r>
          </w:p>
          <w:p w14:paraId="02F4F94D" w14:textId="5114F32D" w:rsidR="00BF0DE7" w:rsidRDefault="00BB20FF" w:rsidP="00431B62">
            <w:pPr>
              <w:pStyle w:val="ListParagraph"/>
              <w:numPr>
                <w:ilvl w:val="0"/>
                <w:numId w:val="23"/>
              </w:numPr>
              <w:spacing w:before="120" w:after="120"/>
              <w:rPr>
                <w:sz w:val="18"/>
                <w:szCs w:val="18"/>
              </w:rPr>
            </w:pPr>
            <w:r>
              <w:rPr>
                <w:b/>
                <w:sz w:val="18"/>
                <w:szCs w:val="18"/>
              </w:rPr>
              <w:t>FAOS pain subscale</w:t>
            </w:r>
            <w:r w:rsidR="00EB1C04">
              <w:rPr>
                <w:b/>
                <w:sz w:val="18"/>
                <w:szCs w:val="18"/>
              </w:rPr>
              <w:t xml:space="preserve">: </w:t>
            </w:r>
            <w:r w:rsidR="008D4533">
              <w:rPr>
                <w:sz w:val="18"/>
                <w:szCs w:val="18"/>
              </w:rPr>
              <w:t>mean scores at baseline demonstrated no signific</w:t>
            </w:r>
            <w:r>
              <w:rPr>
                <w:sz w:val="18"/>
                <w:szCs w:val="18"/>
              </w:rPr>
              <w:t>ant differences in all groups: EE</w:t>
            </w:r>
            <w:r w:rsidR="008D4533">
              <w:rPr>
                <w:sz w:val="18"/>
                <w:szCs w:val="18"/>
              </w:rPr>
              <w:t xml:space="preserve">, 60 </w:t>
            </w:r>
            <w:r w:rsidR="008D4533">
              <w:rPr>
                <w:sz w:val="18"/>
                <w:szCs w:val="18"/>
              </w:rPr>
              <w:softHyphen/>
            </w:r>
            <w:r>
              <w:rPr>
                <w:sz w:val="18"/>
                <w:szCs w:val="18"/>
              </w:rPr>
              <w:t>± 19; NS, 61± 13; ENS, 60 ± 13. All groups demonstrated a significant improvement across all follow-up times (P&lt;0.05)</w:t>
            </w:r>
            <w:r w:rsidR="003E5D0B">
              <w:rPr>
                <w:sz w:val="18"/>
                <w:szCs w:val="18"/>
              </w:rPr>
              <w:t>, and at 1-year follow up all three groups reported between 35-42% (P&lt;0.001) reduction in pain when compared to baseline</w:t>
            </w:r>
            <w:r>
              <w:rPr>
                <w:sz w:val="18"/>
                <w:szCs w:val="18"/>
              </w:rPr>
              <w:t xml:space="preserve">. </w:t>
            </w:r>
            <w:r w:rsidR="003E5D0B">
              <w:rPr>
                <w:sz w:val="18"/>
                <w:szCs w:val="18"/>
              </w:rPr>
              <w:t>EE demonstrated a rapid decrease</w:t>
            </w:r>
            <w:r w:rsidR="00CE6238">
              <w:rPr>
                <w:sz w:val="18"/>
                <w:szCs w:val="18"/>
              </w:rPr>
              <w:t xml:space="preserve"> in pain at 6 weeks </w:t>
            </w:r>
            <w:r w:rsidR="003E5D0B">
              <w:rPr>
                <w:sz w:val="18"/>
                <w:szCs w:val="18"/>
              </w:rPr>
              <w:t>(27%) compared to baseline (77 ± 14,</w:t>
            </w:r>
            <w:r w:rsidR="00CE6238">
              <w:rPr>
                <w:sz w:val="18"/>
                <w:szCs w:val="18"/>
              </w:rPr>
              <w:t xml:space="preserve"> </w:t>
            </w:r>
            <w:r w:rsidR="003E5D0B">
              <w:rPr>
                <w:sz w:val="18"/>
                <w:szCs w:val="18"/>
              </w:rPr>
              <w:t>P = 0.007). This trend continued until 1-year follow-up, demonstrating a 42% decrease in pain from baseline (86 ± 17, P = 0.001).</w:t>
            </w:r>
            <w:r w:rsidR="00692F4F">
              <w:rPr>
                <w:sz w:val="18"/>
                <w:szCs w:val="18"/>
              </w:rPr>
              <w:t xml:space="preserve"> The NS group showed the lowest reduction in pain out of the three groups (19% at 6 weeks, 73 ± 16, P = 0.005; 13% at 12 weeks, 69 ± 20, P = 0.14; 17% at 26 weeks, 72 ± 29, P = 0.14 compared to baseline). </w:t>
            </w:r>
            <w:r w:rsidR="00652BDE">
              <w:rPr>
                <w:sz w:val="18"/>
                <w:szCs w:val="18"/>
              </w:rPr>
              <w:t>The authors</w:t>
            </w:r>
            <w:r w:rsidR="00692F4F">
              <w:rPr>
                <w:sz w:val="18"/>
                <w:szCs w:val="18"/>
              </w:rPr>
              <w:t xml:space="preserve"> also </w:t>
            </w:r>
            <w:r w:rsidR="00652BDE">
              <w:rPr>
                <w:sz w:val="18"/>
                <w:szCs w:val="18"/>
              </w:rPr>
              <w:t>report a</w:t>
            </w:r>
            <w:r w:rsidR="00692F4F">
              <w:rPr>
                <w:sz w:val="18"/>
                <w:szCs w:val="18"/>
              </w:rPr>
              <w:t xml:space="preserve"> significant improvement at 52 weeks. The ENS group demonstrated less pain reduction than the EE group, but more than the NS group (18% at 6 weeks, 71 ± 14, P = </w:t>
            </w:r>
            <w:r w:rsidR="00652BDE">
              <w:rPr>
                <w:sz w:val="18"/>
                <w:szCs w:val="18"/>
              </w:rPr>
              <w:t>0.14; 22% at 12 weeks, 74 ± 16, P = 0.008; and 22 % at 26 weeks, 74 ± 22, P = 0.08 compared to baseline). The authors also report a significant improvement at 52 weeks. The a</w:t>
            </w:r>
            <w:r w:rsidR="004E18ED">
              <w:rPr>
                <w:sz w:val="18"/>
                <w:szCs w:val="18"/>
              </w:rPr>
              <w:t>uthors report similar results of</w:t>
            </w:r>
            <w:r w:rsidR="00652BDE">
              <w:rPr>
                <w:sz w:val="18"/>
                <w:szCs w:val="18"/>
              </w:rPr>
              <w:t xml:space="preserve"> improvement in the other FAOS subscales</w:t>
            </w:r>
            <w:r w:rsidR="004E18ED">
              <w:rPr>
                <w:sz w:val="18"/>
                <w:szCs w:val="18"/>
              </w:rPr>
              <w:t>, but this data was not calculated</w:t>
            </w:r>
            <w:r w:rsidR="00652BDE">
              <w:rPr>
                <w:sz w:val="18"/>
                <w:szCs w:val="18"/>
              </w:rPr>
              <w:t>.</w:t>
            </w:r>
            <w:r w:rsidR="004E18ED">
              <w:rPr>
                <w:sz w:val="18"/>
                <w:szCs w:val="18"/>
              </w:rPr>
              <w:t xml:space="preserve"> There were no statistically significant</w:t>
            </w:r>
            <w:r w:rsidR="000B4BA0">
              <w:rPr>
                <w:sz w:val="18"/>
                <w:szCs w:val="18"/>
              </w:rPr>
              <w:t xml:space="preserve"> differences between groups at any time during the study (P = 0.14-0.98), </w:t>
            </w:r>
            <w:r w:rsidR="00BF3370">
              <w:rPr>
                <w:sz w:val="18"/>
                <w:szCs w:val="18"/>
              </w:rPr>
              <w:t xml:space="preserve">but </w:t>
            </w:r>
            <w:r w:rsidR="000B4BA0">
              <w:rPr>
                <w:sz w:val="18"/>
                <w:szCs w:val="18"/>
              </w:rPr>
              <w:t xml:space="preserve">differences of &gt;10 points in the mean pain scores at 12 </w:t>
            </w:r>
            <w:r w:rsidR="00BF3370">
              <w:rPr>
                <w:sz w:val="18"/>
                <w:szCs w:val="18"/>
              </w:rPr>
              <w:t xml:space="preserve">weeks (82 vs. 69, P = 0.04) </w:t>
            </w:r>
            <w:r w:rsidR="000B4BA0">
              <w:rPr>
                <w:sz w:val="18"/>
                <w:szCs w:val="18"/>
              </w:rPr>
              <w:t>and 26 weeks</w:t>
            </w:r>
            <w:r w:rsidR="00BF3370">
              <w:rPr>
                <w:sz w:val="18"/>
                <w:szCs w:val="18"/>
              </w:rPr>
              <w:t xml:space="preserve"> (84 vs. 72)</w:t>
            </w:r>
            <w:r w:rsidR="000B4BA0">
              <w:rPr>
                <w:sz w:val="18"/>
                <w:szCs w:val="18"/>
              </w:rPr>
              <w:t xml:space="preserve"> were present in the EE group</w:t>
            </w:r>
            <w:r w:rsidR="00BF3370">
              <w:rPr>
                <w:sz w:val="18"/>
                <w:szCs w:val="18"/>
              </w:rPr>
              <w:t xml:space="preserve"> compared to the NS group</w:t>
            </w:r>
            <w:r w:rsidR="000B4BA0">
              <w:rPr>
                <w:sz w:val="18"/>
                <w:szCs w:val="18"/>
              </w:rPr>
              <w:t xml:space="preserve">, which the authors </w:t>
            </w:r>
            <w:r w:rsidR="00551718">
              <w:rPr>
                <w:sz w:val="18"/>
                <w:szCs w:val="18"/>
              </w:rPr>
              <w:t>considere</w:t>
            </w:r>
            <w:r w:rsidR="000B4BA0">
              <w:rPr>
                <w:sz w:val="18"/>
                <w:szCs w:val="18"/>
              </w:rPr>
              <w:t xml:space="preserve">d to be clinically significant. </w:t>
            </w:r>
            <w:r w:rsidR="00652BDE">
              <w:rPr>
                <w:sz w:val="18"/>
                <w:szCs w:val="18"/>
              </w:rPr>
              <w:t xml:space="preserve"> </w:t>
            </w:r>
          </w:p>
          <w:p w14:paraId="03D3B196" w14:textId="3B1BBE7C" w:rsidR="00BF3370" w:rsidRDefault="00CE24F4" w:rsidP="00431B62">
            <w:pPr>
              <w:pStyle w:val="ListParagraph"/>
              <w:numPr>
                <w:ilvl w:val="0"/>
                <w:numId w:val="23"/>
              </w:numPr>
              <w:spacing w:before="120" w:after="120"/>
              <w:rPr>
                <w:sz w:val="18"/>
                <w:szCs w:val="18"/>
              </w:rPr>
            </w:pPr>
            <w:r>
              <w:rPr>
                <w:b/>
                <w:sz w:val="18"/>
                <w:szCs w:val="18"/>
              </w:rPr>
              <w:t xml:space="preserve">Physical activity level: </w:t>
            </w:r>
            <w:r w:rsidR="00551718">
              <w:rPr>
                <w:sz w:val="18"/>
                <w:szCs w:val="18"/>
              </w:rPr>
              <w:t xml:space="preserve">The </w:t>
            </w:r>
            <w:proofErr w:type="gramStart"/>
            <w:r w:rsidR="00551718">
              <w:rPr>
                <w:sz w:val="18"/>
                <w:szCs w:val="18"/>
              </w:rPr>
              <w:t>authors</w:t>
            </w:r>
            <w:proofErr w:type="gramEnd"/>
            <w:r w:rsidR="00551718">
              <w:rPr>
                <w:sz w:val="18"/>
                <w:szCs w:val="18"/>
              </w:rPr>
              <w:t xml:space="preserve"> report, </w:t>
            </w:r>
            <w:r w:rsidR="00551718">
              <w:rPr>
                <w:b/>
                <w:sz w:val="18"/>
                <w:szCs w:val="18"/>
              </w:rPr>
              <w:t>“</w:t>
            </w:r>
            <w:r w:rsidR="009C4DC0">
              <w:rPr>
                <w:sz w:val="18"/>
                <w:szCs w:val="18"/>
              </w:rPr>
              <w:t>f</w:t>
            </w:r>
            <w:r w:rsidR="005231A4">
              <w:rPr>
                <w:sz w:val="18"/>
                <w:szCs w:val="18"/>
              </w:rPr>
              <w:t xml:space="preserve">ive out of eight patients in the EE group who were participating in sports before onset of Achilles </w:t>
            </w:r>
            <w:proofErr w:type="spellStart"/>
            <w:r w:rsidR="005231A4">
              <w:rPr>
                <w:sz w:val="18"/>
                <w:szCs w:val="18"/>
              </w:rPr>
              <w:t>tendinopathy</w:t>
            </w:r>
            <w:proofErr w:type="spellEnd"/>
            <w:r w:rsidR="005231A4">
              <w:rPr>
                <w:sz w:val="18"/>
                <w:szCs w:val="18"/>
              </w:rPr>
              <w:t xml:space="preserve"> returned to their pre-injury activity level after the 12-week intervention. Three out of eight patients in the ENS group returned to sports after the 12-week intervention. One out of 10 patients in the NS group returned to sports</w:t>
            </w:r>
            <w:r w:rsidR="009C4DC0">
              <w:rPr>
                <w:sz w:val="18"/>
                <w:szCs w:val="18"/>
              </w:rPr>
              <w:t xml:space="preserve"> after the 12-week intervention</w:t>
            </w:r>
            <w:r w:rsidR="00551718">
              <w:rPr>
                <w:sz w:val="18"/>
                <w:szCs w:val="18"/>
              </w:rPr>
              <w:t>”</w:t>
            </w:r>
            <w:r w:rsidR="009C4DC0">
              <w:rPr>
                <w:sz w:val="18"/>
                <w:szCs w:val="18"/>
              </w:rPr>
              <w:t>(</w:t>
            </w:r>
            <w:proofErr w:type="spellStart"/>
            <w:r w:rsidR="009C4DC0">
              <w:rPr>
                <w:sz w:val="18"/>
                <w:szCs w:val="18"/>
              </w:rPr>
              <w:t>Roos</w:t>
            </w:r>
            <w:proofErr w:type="spellEnd"/>
            <w:r w:rsidR="009C4DC0">
              <w:rPr>
                <w:sz w:val="18"/>
                <w:szCs w:val="18"/>
              </w:rPr>
              <w:t xml:space="preserve"> et al, 2004, p.291).</w:t>
            </w:r>
            <w:r w:rsidR="00402E12">
              <w:rPr>
                <w:sz w:val="18"/>
                <w:szCs w:val="18"/>
              </w:rPr>
              <w:t xml:space="preserve"> The study authors did not provide </w:t>
            </w:r>
            <w:r w:rsidR="000A7D22">
              <w:rPr>
                <w:sz w:val="18"/>
                <w:szCs w:val="18"/>
              </w:rPr>
              <w:t xml:space="preserve">data concerning the actual scores on the 0-6 </w:t>
            </w:r>
            <w:proofErr w:type="gramStart"/>
            <w:r w:rsidR="000A7D22">
              <w:rPr>
                <w:sz w:val="18"/>
                <w:szCs w:val="18"/>
              </w:rPr>
              <w:t>scale</w:t>
            </w:r>
            <w:proofErr w:type="gramEnd"/>
            <w:r w:rsidR="000A7D22">
              <w:rPr>
                <w:sz w:val="18"/>
                <w:szCs w:val="18"/>
              </w:rPr>
              <w:t xml:space="preserve"> used. </w:t>
            </w:r>
          </w:p>
          <w:p w14:paraId="464812F2" w14:textId="2EDD2206" w:rsidR="00402E12" w:rsidRDefault="00402E12" w:rsidP="00431B62">
            <w:pPr>
              <w:pStyle w:val="ListParagraph"/>
              <w:numPr>
                <w:ilvl w:val="0"/>
                <w:numId w:val="23"/>
              </w:numPr>
              <w:spacing w:before="120" w:after="120"/>
              <w:rPr>
                <w:sz w:val="18"/>
                <w:szCs w:val="18"/>
              </w:rPr>
            </w:pPr>
            <w:r>
              <w:rPr>
                <w:b/>
                <w:sz w:val="18"/>
                <w:szCs w:val="18"/>
              </w:rPr>
              <w:t>Difficulty during sporting activities:</w:t>
            </w:r>
            <w:r>
              <w:rPr>
                <w:sz w:val="18"/>
                <w:szCs w:val="18"/>
              </w:rPr>
              <w:t xml:space="preserve"> </w:t>
            </w:r>
            <w:r w:rsidR="009C4DC0">
              <w:rPr>
                <w:sz w:val="18"/>
                <w:szCs w:val="18"/>
              </w:rPr>
              <w:t>The authors discovered that “m</w:t>
            </w:r>
            <w:r w:rsidR="000A7D22">
              <w:rPr>
                <w:sz w:val="18"/>
                <w:szCs w:val="18"/>
              </w:rPr>
              <w:t>ore than 80% of patients in all three groups reported moderate-to-extreme difficulty participating in sporting activities at baseline. At 12 weeks, 27% of patients in the EE group, 58% of patients in the ENS group, and 50% of patients in the NS group reported moderate-to-extreme difficulty during spor</w:t>
            </w:r>
            <w:r w:rsidR="009C4DC0">
              <w:rPr>
                <w:sz w:val="18"/>
                <w:szCs w:val="18"/>
              </w:rPr>
              <w:t>ting activities” (</w:t>
            </w:r>
            <w:proofErr w:type="spellStart"/>
            <w:r w:rsidR="009C4DC0">
              <w:rPr>
                <w:sz w:val="18"/>
                <w:szCs w:val="18"/>
              </w:rPr>
              <w:t>Roos</w:t>
            </w:r>
            <w:proofErr w:type="spellEnd"/>
            <w:r w:rsidR="009C4DC0">
              <w:rPr>
                <w:sz w:val="18"/>
                <w:szCs w:val="18"/>
              </w:rPr>
              <w:t xml:space="preserve"> et al, 2004, p.291).</w:t>
            </w:r>
            <w:r w:rsidR="000A7D22">
              <w:rPr>
                <w:sz w:val="18"/>
                <w:szCs w:val="18"/>
              </w:rPr>
              <w:t xml:space="preserve"> The study authors did not provide data regarding scores </w:t>
            </w:r>
            <w:r w:rsidR="00852D42">
              <w:rPr>
                <w:sz w:val="18"/>
                <w:szCs w:val="18"/>
              </w:rPr>
              <w:t>at 26 weeks</w:t>
            </w:r>
            <w:r w:rsidR="000A7D22">
              <w:rPr>
                <w:sz w:val="18"/>
                <w:szCs w:val="18"/>
              </w:rPr>
              <w:t>; however, they state that the r</w:t>
            </w:r>
            <w:r w:rsidR="000F72D2">
              <w:rPr>
                <w:sz w:val="18"/>
                <w:szCs w:val="18"/>
              </w:rPr>
              <w:t>esults were similar to the results</w:t>
            </w:r>
            <w:r w:rsidR="000A7D22">
              <w:rPr>
                <w:sz w:val="18"/>
                <w:szCs w:val="18"/>
              </w:rPr>
              <w:t xml:space="preserve"> at 12 weeks. </w:t>
            </w:r>
          </w:p>
          <w:p w14:paraId="4F897783" w14:textId="6F128349" w:rsidR="001D4F60" w:rsidRPr="0075143B" w:rsidRDefault="00852D42" w:rsidP="009E380F">
            <w:pPr>
              <w:pStyle w:val="ListParagraph"/>
              <w:numPr>
                <w:ilvl w:val="0"/>
                <w:numId w:val="23"/>
              </w:numPr>
              <w:spacing w:before="120" w:after="120"/>
              <w:rPr>
                <w:sz w:val="18"/>
                <w:szCs w:val="18"/>
              </w:rPr>
            </w:pPr>
            <w:r>
              <w:rPr>
                <w:b/>
                <w:sz w:val="18"/>
                <w:szCs w:val="18"/>
              </w:rPr>
              <w:t>Compliance:</w:t>
            </w:r>
            <w:r>
              <w:rPr>
                <w:sz w:val="18"/>
                <w:szCs w:val="18"/>
              </w:rPr>
              <w:t xml:space="preserve"> Com</w:t>
            </w:r>
            <w:r w:rsidR="005F40AF">
              <w:rPr>
                <w:sz w:val="18"/>
                <w:szCs w:val="18"/>
              </w:rPr>
              <w:t>pliance was good for EE during</w:t>
            </w:r>
            <w:r>
              <w:rPr>
                <w:sz w:val="18"/>
                <w:szCs w:val="18"/>
              </w:rPr>
              <w:t xml:space="preserve"> four out of </w:t>
            </w:r>
            <w:r w:rsidR="0045717A">
              <w:rPr>
                <w:sz w:val="18"/>
                <w:szCs w:val="18"/>
              </w:rPr>
              <w:t>the first</w:t>
            </w:r>
            <w:r>
              <w:rPr>
                <w:sz w:val="18"/>
                <w:szCs w:val="18"/>
              </w:rPr>
              <w:t xml:space="preserve"> five weeks</w:t>
            </w:r>
            <w:r w:rsidR="0075143B">
              <w:rPr>
                <w:sz w:val="18"/>
                <w:szCs w:val="18"/>
              </w:rPr>
              <w:t xml:space="preserve"> then</w:t>
            </w:r>
            <w:r>
              <w:rPr>
                <w:sz w:val="18"/>
                <w:szCs w:val="18"/>
              </w:rPr>
              <w:t xml:space="preserve"> continued to decline over the remainder of the intervention. The authors </w:t>
            </w:r>
            <w:r w:rsidR="005F40AF">
              <w:rPr>
                <w:sz w:val="18"/>
                <w:szCs w:val="18"/>
              </w:rPr>
              <w:t>noted</w:t>
            </w:r>
            <w:r>
              <w:rPr>
                <w:sz w:val="18"/>
                <w:szCs w:val="18"/>
              </w:rPr>
              <w:t xml:space="preserve"> that only 50% of patients </w:t>
            </w:r>
            <w:r w:rsidR="005F40AF">
              <w:rPr>
                <w:sz w:val="18"/>
                <w:szCs w:val="18"/>
              </w:rPr>
              <w:t xml:space="preserve">reported </w:t>
            </w:r>
            <w:r>
              <w:rPr>
                <w:sz w:val="18"/>
                <w:szCs w:val="18"/>
              </w:rPr>
              <w:t xml:space="preserve">good compliance </w:t>
            </w:r>
            <w:r w:rsidR="005F40AF">
              <w:rPr>
                <w:sz w:val="18"/>
                <w:szCs w:val="18"/>
              </w:rPr>
              <w:t xml:space="preserve">with EE by week 12. According to the graph provided in the original article, it appears that </w:t>
            </w:r>
            <w:r w:rsidR="0045717A">
              <w:rPr>
                <w:sz w:val="18"/>
                <w:szCs w:val="18"/>
              </w:rPr>
              <w:t>there was poor compliance (&lt;75%) with EE for eight out of 13 weeks.</w:t>
            </w:r>
            <w:r w:rsidR="005F40AF">
              <w:rPr>
                <w:sz w:val="18"/>
                <w:szCs w:val="18"/>
              </w:rPr>
              <w:t xml:space="preserve"> Compliance with the night splint generally increased during the first several weeks of the intervention period</w:t>
            </w:r>
            <w:r w:rsidR="0045717A">
              <w:rPr>
                <w:sz w:val="18"/>
                <w:szCs w:val="18"/>
              </w:rPr>
              <w:t>,</w:t>
            </w:r>
            <w:r w:rsidR="005F40AF">
              <w:rPr>
                <w:sz w:val="18"/>
                <w:szCs w:val="18"/>
              </w:rPr>
              <w:t xml:space="preserve"> and remained over 75% for </w:t>
            </w:r>
            <w:r w:rsidR="0045717A">
              <w:rPr>
                <w:sz w:val="18"/>
                <w:szCs w:val="18"/>
              </w:rPr>
              <w:t>the majority of the</w:t>
            </w:r>
            <w:r w:rsidR="005F40AF">
              <w:rPr>
                <w:sz w:val="18"/>
                <w:szCs w:val="18"/>
              </w:rPr>
              <w:t xml:space="preserve"> study period. According to the graph provided in the original article, it ap</w:t>
            </w:r>
            <w:r w:rsidR="0045717A">
              <w:rPr>
                <w:sz w:val="18"/>
                <w:szCs w:val="18"/>
              </w:rPr>
              <w:t>pears that there was poor compliance for only three out of 13</w:t>
            </w:r>
            <w:r w:rsidR="005F40AF">
              <w:rPr>
                <w:sz w:val="18"/>
                <w:szCs w:val="18"/>
              </w:rPr>
              <w:t xml:space="preserve"> weeks with use of the night splint (weeks 1, 12 and 13). </w:t>
            </w:r>
            <w:r w:rsidR="0045717A">
              <w:rPr>
                <w:sz w:val="18"/>
                <w:szCs w:val="18"/>
              </w:rPr>
              <w:t xml:space="preserve">The authors state that the association between compliance and outcome was not </w:t>
            </w:r>
            <w:r w:rsidR="0045717A">
              <w:rPr>
                <w:sz w:val="18"/>
                <w:szCs w:val="18"/>
              </w:rPr>
              <w:lastRenderedPageBreak/>
              <w:t xml:space="preserve">calculated because the numbers were too small in each group. </w:t>
            </w:r>
            <w:r w:rsidR="00636003">
              <w:rPr>
                <w:sz w:val="18"/>
                <w:szCs w:val="18"/>
              </w:rPr>
              <w:t xml:space="preserve">Although compliance was reported in this study, the authors did not provide sufficient detail of the data or analyse the collected data. </w:t>
            </w:r>
          </w:p>
          <w:p w14:paraId="67BAC9C2" w14:textId="77777777" w:rsidR="001D4F60" w:rsidRPr="002F16E1" w:rsidRDefault="001D4F60" w:rsidP="009E380F">
            <w:pPr>
              <w:spacing w:before="120" w:after="120"/>
              <w:jc w:val="right"/>
              <w:rPr>
                <w:sz w:val="18"/>
                <w:szCs w:val="18"/>
              </w:rPr>
            </w:pPr>
          </w:p>
        </w:tc>
      </w:tr>
      <w:tr w:rsidR="001D4F60" w:rsidRPr="002F16E1" w14:paraId="72028DB3" w14:textId="77777777" w:rsidTr="009E380F">
        <w:tc>
          <w:tcPr>
            <w:tcW w:w="10421" w:type="dxa"/>
            <w:shd w:val="clear" w:color="auto" w:fill="E6E6E6"/>
          </w:tcPr>
          <w:p w14:paraId="12EB9011" w14:textId="3324102D" w:rsidR="001D4F60" w:rsidRPr="009C4DC0"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0E3193E6" w14:textId="77777777" w:rsidTr="009E380F">
        <w:tc>
          <w:tcPr>
            <w:tcW w:w="10421" w:type="dxa"/>
            <w:tcBorders>
              <w:bottom w:val="single" w:sz="4" w:space="0" w:color="auto"/>
            </w:tcBorders>
            <w:shd w:val="clear" w:color="auto" w:fill="auto"/>
          </w:tcPr>
          <w:p w14:paraId="7501EF30" w14:textId="630E3CB7" w:rsidR="001D4F60" w:rsidRPr="002F16E1" w:rsidRDefault="00C66A53" w:rsidP="009E380F">
            <w:pPr>
              <w:spacing w:before="120" w:after="120"/>
              <w:rPr>
                <w:sz w:val="18"/>
                <w:szCs w:val="18"/>
              </w:rPr>
            </w:pPr>
            <w:r>
              <w:rPr>
                <w:sz w:val="18"/>
                <w:szCs w:val="18"/>
              </w:rPr>
              <w:t xml:space="preserve">“We conclude that eccentric exercises seem to improve function and reduce pain because of Achilles </w:t>
            </w:r>
            <w:proofErr w:type="spellStart"/>
            <w:r>
              <w:rPr>
                <w:sz w:val="18"/>
                <w:szCs w:val="18"/>
              </w:rPr>
              <w:t>tendinopathy</w:t>
            </w:r>
            <w:proofErr w:type="spellEnd"/>
            <w:r>
              <w:rPr>
                <w:sz w:val="18"/>
                <w:szCs w:val="18"/>
              </w:rPr>
              <w:t xml:space="preserve"> in patients recruited from primary care. The effects were apparent already after 6 weeks of treatment and lasted for 1 year. Our results are in line with previous studies and strengthens the recommendation that patients, regardless of the duration or the severity of the problems, should undergo an eccentric exercise program prior to consideration of other treatments such as Achilles tendon surgery.” (</w:t>
            </w:r>
            <w:proofErr w:type="spellStart"/>
            <w:r>
              <w:rPr>
                <w:sz w:val="18"/>
                <w:szCs w:val="18"/>
              </w:rPr>
              <w:t>Roos</w:t>
            </w:r>
            <w:proofErr w:type="spellEnd"/>
            <w:r>
              <w:rPr>
                <w:sz w:val="18"/>
                <w:szCs w:val="18"/>
              </w:rPr>
              <w:t xml:space="preserve"> et al, 2004, p. 294).</w:t>
            </w:r>
          </w:p>
          <w:p w14:paraId="664207C9" w14:textId="77777777" w:rsidR="001D4F60" w:rsidRPr="002F16E1" w:rsidRDefault="001D4F60" w:rsidP="009E380F">
            <w:pPr>
              <w:spacing w:before="120" w:after="120"/>
              <w:jc w:val="right"/>
              <w:rPr>
                <w:sz w:val="18"/>
                <w:szCs w:val="18"/>
              </w:rPr>
            </w:pPr>
          </w:p>
        </w:tc>
      </w:tr>
      <w:tr w:rsidR="001D4F60" w:rsidRPr="002F16E1" w14:paraId="650F0535" w14:textId="77777777" w:rsidTr="009E380F">
        <w:tc>
          <w:tcPr>
            <w:tcW w:w="10421" w:type="dxa"/>
            <w:shd w:val="clear" w:color="auto" w:fill="E6E6E6"/>
          </w:tcPr>
          <w:p w14:paraId="1F0384EC"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E7049C8" w14:textId="77777777" w:rsidTr="009E380F">
        <w:tc>
          <w:tcPr>
            <w:tcW w:w="10421" w:type="dxa"/>
            <w:shd w:val="clear" w:color="auto" w:fill="auto"/>
          </w:tcPr>
          <w:p w14:paraId="0C47BA4B" w14:textId="77777777" w:rsidR="001D4F60" w:rsidRPr="002F16E1" w:rsidRDefault="001D4F60" w:rsidP="009E380F">
            <w:pPr>
              <w:spacing w:before="120" w:after="120"/>
              <w:rPr>
                <w:b/>
                <w:sz w:val="18"/>
                <w:szCs w:val="18"/>
              </w:rPr>
            </w:pPr>
            <w:r w:rsidRPr="002F16E1">
              <w:rPr>
                <w:b/>
                <w:sz w:val="18"/>
                <w:szCs w:val="18"/>
              </w:rPr>
              <w:t>Validity</w:t>
            </w:r>
          </w:p>
          <w:p w14:paraId="36C28246"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5F0C85A7"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385FD708" w14:textId="77777777" w:rsidTr="009E380F">
        <w:tc>
          <w:tcPr>
            <w:tcW w:w="10421" w:type="dxa"/>
            <w:shd w:val="clear" w:color="auto" w:fill="auto"/>
          </w:tcPr>
          <w:p w14:paraId="1BBA63D2" w14:textId="7C04EAFD" w:rsidR="001074B8" w:rsidRPr="001074B8" w:rsidRDefault="001074B8" w:rsidP="001074B8">
            <w:pPr>
              <w:pStyle w:val="ListParagraph"/>
              <w:numPr>
                <w:ilvl w:val="0"/>
                <w:numId w:val="24"/>
              </w:numPr>
              <w:spacing w:before="120" w:after="120"/>
              <w:rPr>
                <w:sz w:val="18"/>
                <w:szCs w:val="18"/>
              </w:rPr>
            </w:pPr>
            <w:proofErr w:type="spellStart"/>
            <w:r>
              <w:rPr>
                <w:sz w:val="18"/>
                <w:szCs w:val="18"/>
              </w:rPr>
              <w:t>PEDro</w:t>
            </w:r>
            <w:proofErr w:type="spellEnd"/>
            <w:r>
              <w:rPr>
                <w:sz w:val="18"/>
                <w:szCs w:val="18"/>
              </w:rPr>
              <w:t xml:space="preserve"> Score: 6/10 based on Eligibility Criteria: Yes; Random Allocation: Yes; Concealed Allocation: Yes; Baseline Comparison: Yes; Blind Subjects: No; Blind Therapist: No; Blind Assessors: No; Adequate Follow-up: No; Intention-to-treat analysis: Yes; Between Group Comparison: Yes; Point Estimates and Variability: Yes. (Eligibility score does not contribute to total score.)</w:t>
            </w:r>
          </w:p>
          <w:p w14:paraId="457C5AD9" w14:textId="564EA2BE" w:rsidR="001D4F60" w:rsidRPr="00580607" w:rsidRDefault="00C64E50" w:rsidP="009E380F">
            <w:pPr>
              <w:spacing w:before="120" w:after="120"/>
              <w:rPr>
                <w:sz w:val="18"/>
                <w:szCs w:val="18"/>
              </w:rPr>
            </w:pPr>
            <w:r>
              <w:rPr>
                <w:sz w:val="18"/>
                <w:szCs w:val="18"/>
              </w:rPr>
              <w:t xml:space="preserve">It is noteworthy to consider that this study was unable to recruit 60 patients in order to demonstrate statistical significance. </w:t>
            </w:r>
            <w:r w:rsidR="00462451">
              <w:rPr>
                <w:sz w:val="18"/>
                <w:szCs w:val="18"/>
              </w:rPr>
              <w:t>However, t</w:t>
            </w:r>
            <w:r>
              <w:rPr>
                <w:sz w:val="18"/>
                <w:szCs w:val="18"/>
              </w:rPr>
              <w:t xml:space="preserve">he authors determined that a mean score difference of 10 points on the FAOS would be considered as clinically relevant. </w:t>
            </w:r>
            <w:r w:rsidR="00462451">
              <w:rPr>
                <w:sz w:val="18"/>
                <w:szCs w:val="18"/>
              </w:rPr>
              <w:t>The authors emphasize that they were only able to recruit 44 patients despite nearly a 3-year period of recruitment</w:t>
            </w:r>
            <w:r w:rsidR="00615FD6">
              <w:rPr>
                <w:sz w:val="18"/>
                <w:szCs w:val="18"/>
              </w:rPr>
              <w:t xml:space="preserve"> involving 23 primary-care physicians. </w:t>
            </w:r>
            <w:r w:rsidR="008942FF">
              <w:rPr>
                <w:sz w:val="18"/>
                <w:szCs w:val="18"/>
              </w:rPr>
              <w:t>This lack of participants (only 10-13 per group</w:t>
            </w:r>
            <w:r w:rsidR="00763EA7">
              <w:rPr>
                <w:sz w:val="18"/>
                <w:szCs w:val="18"/>
              </w:rPr>
              <w:t xml:space="preserve"> at 1-year follow-up</w:t>
            </w:r>
            <w:r w:rsidR="008942FF">
              <w:rPr>
                <w:sz w:val="18"/>
                <w:szCs w:val="18"/>
              </w:rPr>
              <w:t xml:space="preserve">) introduces a possibility that the results are narrowed to a very specific clinical population. </w:t>
            </w:r>
            <w:r w:rsidR="007B3215">
              <w:rPr>
                <w:sz w:val="18"/>
                <w:szCs w:val="18"/>
              </w:rPr>
              <w:t xml:space="preserve">As with many physical therapy </w:t>
            </w:r>
            <w:r w:rsidR="00636003">
              <w:rPr>
                <w:sz w:val="18"/>
                <w:szCs w:val="18"/>
              </w:rPr>
              <w:t>studies, blinding of subjects,</w:t>
            </w:r>
            <w:r w:rsidR="007B3215">
              <w:rPr>
                <w:sz w:val="18"/>
                <w:szCs w:val="18"/>
              </w:rPr>
              <w:t xml:space="preserve"> therapist</w:t>
            </w:r>
            <w:r w:rsidR="00636003">
              <w:rPr>
                <w:sz w:val="18"/>
                <w:szCs w:val="18"/>
              </w:rPr>
              <w:t xml:space="preserve"> and interventions</w:t>
            </w:r>
            <w:r w:rsidR="007B3215">
              <w:rPr>
                <w:sz w:val="18"/>
                <w:szCs w:val="18"/>
              </w:rPr>
              <w:t xml:space="preserve"> was not possible </w:t>
            </w:r>
            <w:r w:rsidR="00636003">
              <w:rPr>
                <w:sz w:val="18"/>
                <w:szCs w:val="18"/>
              </w:rPr>
              <w:t>due to all interventions being</w:t>
            </w:r>
            <w:r w:rsidR="007B3215">
              <w:rPr>
                <w:sz w:val="18"/>
                <w:szCs w:val="18"/>
              </w:rPr>
              <w:t xml:space="preserve"> visually identifiable to participant and therapist. </w:t>
            </w:r>
            <w:r w:rsidR="00615FD6">
              <w:rPr>
                <w:sz w:val="18"/>
                <w:szCs w:val="18"/>
              </w:rPr>
              <w:t>This</w:t>
            </w:r>
            <w:r w:rsidR="00636003">
              <w:rPr>
                <w:sz w:val="18"/>
                <w:szCs w:val="18"/>
              </w:rPr>
              <w:t xml:space="preserve"> lack of blinding may </w:t>
            </w:r>
            <w:r w:rsidR="00615FD6">
              <w:rPr>
                <w:sz w:val="18"/>
                <w:szCs w:val="18"/>
              </w:rPr>
              <w:t>have le</w:t>
            </w:r>
            <w:r w:rsidR="00636003">
              <w:rPr>
                <w:sz w:val="18"/>
                <w:szCs w:val="18"/>
              </w:rPr>
              <w:t xml:space="preserve">d to potential bias or a placebo effect. </w:t>
            </w:r>
            <w:r w:rsidR="00615FD6">
              <w:rPr>
                <w:sz w:val="18"/>
                <w:szCs w:val="18"/>
              </w:rPr>
              <w:t>Because the primary outcome of this study was pain, the authors deemed the FAOS as appropriate to measure this in this patient population. However, because the FAOS is adapted from the Knee Injury and Osteoarthritis Outcome Score (KOOS), which considers a 10% score change as representing clinical change</w:t>
            </w:r>
            <w:proofErr w:type="gramStart"/>
            <w:r w:rsidR="003D4990">
              <w:rPr>
                <w:sz w:val="18"/>
                <w:szCs w:val="18"/>
              </w:rPr>
              <w:t>,</w:t>
            </w:r>
            <w:r w:rsidR="003D4990">
              <w:rPr>
                <w:sz w:val="18"/>
                <w:szCs w:val="18"/>
                <w:vertAlign w:val="superscript"/>
              </w:rPr>
              <w:t>7</w:t>
            </w:r>
            <w:proofErr w:type="gramEnd"/>
            <w:r w:rsidR="003D4990">
              <w:rPr>
                <w:sz w:val="18"/>
                <w:szCs w:val="18"/>
              </w:rPr>
              <w:t xml:space="preserve"> this same representation was used in this study for the FAOS. This leaves one to question if the representation for a score change based on an outcome assessing the knee is appropriate for the ankle. Mailing the questionnaires to the participants </w:t>
            </w:r>
            <w:r w:rsidR="00707149">
              <w:rPr>
                <w:sz w:val="18"/>
                <w:szCs w:val="18"/>
              </w:rPr>
              <w:t>may have improved credibility in this study by possibly minimizing</w:t>
            </w:r>
            <w:r w:rsidR="003D4990">
              <w:rPr>
                <w:sz w:val="18"/>
                <w:szCs w:val="18"/>
              </w:rPr>
              <w:t xml:space="preserve"> investigator bias. While this may have minimized investigator bias, one could speculate that this may have contributed to the fo</w:t>
            </w:r>
            <w:r w:rsidR="00C92175">
              <w:rPr>
                <w:sz w:val="18"/>
                <w:szCs w:val="18"/>
              </w:rPr>
              <w:t>llow-up loss seen in the study</w:t>
            </w:r>
            <w:r w:rsidR="00707149">
              <w:rPr>
                <w:sz w:val="18"/>
                <w:szCs w:val="18"/>
              </w:rPr>
              <w:t>, which</w:t>
            </w:r>
            <w:r w:rsidR="00C92175">
              <w:rPr>
                <w:sz w:val="18"/>
                <w:szCs w:val="18"/>
              </w:rPr>
              <w:t xml:space="preserve"> varied at each follow-up point. </w:t>
            </w:r>
            <w:r w:rsidR="00F934A4">
              <w:rPr>
                <w:sz w:val="18"/>
                <w:szCs w:val="18"/>
              </w:rPr>
              <w:t xml:space="preserve">The interventions </w:t>
            </w:r>
            <w:r w:rsidR="00F427FC">
              <w:rPr>
                <w:sz w:val="18"/>
                <w:szCs w:val="18"/>
              </w:rPr>
              <w:t xml:space="preserve">used in this study were appropriate, but there was a lack of standardization in the groups performing eccentric exercises. The authors mention that the participants were encouraged to increase weight as tolerated, but there was no information provided in the article as to how much the patients progressed. </w:t>
            </w:r>
            <w:r w:rsidR="00707149">
              <w:rPr>
                <w:sz w:val="18"/>
                <w:szCs w:val="18"/>
              </w:rPr>
              <w:t xml:space="preserve">Although compliance was documented in this study, detail was lacking in </w:t>
            </w:r>
            <w:r w:rsidR="00575708">
              <w:rPr>
                <w:sz w:val="18"/>
                <w:szCs w:val="18"/>
              </w:rPr>
              <w:t>the analysis of the collected data to be able to differentiate compliance trends between groups. This information would have been helpful for a clinician reviewing this study to know</w:t>
            </w:r>
            <w:r w:rsidR="00514BDD">
              <w:rPr>
                <w:sz w:val="18"/>
                <w:szCs w:val="18"/>
              </w:rPr>
              <w:t xml:space="preserve"> in order to improve compliance in clinical practice. For example, because of the limited information provided about compliance, it is difficult to distinguish if the EE group or the ENS gr</w:t>
            </w:r>
            <w:r w:rsidR="0093325D">
              <w:rPr>
                <w:sz w:val="18"/>
                <w:szCs w:val="18"/>
              </w:rPr>
              <w:t>oup contributed more to the poor</w:t>
            </w:r>
            <w:r w:rsidR="00514BDD">
              <w:rPr>
                <w:sz w:val="18"/>
                <w:szCs w:val="18"/>
              </w:rPr>
              <w:t xml:space="preserve"> compliance demonstrated by week 12. Furthermore, the graph provided in the article on compliance is somewhat confusing. It demonstrates that there was a 13-week treatment period, while the authors state that the intervention was only 12 weeks. </w:t>
            </w:r>
            <w:r w:rsidR="00575708">
              <w:rPr>
                <w:sz w:val="18"/>
                <w:szCs w:val="18"/>
              </w:rPr>
              <w:t xml:space="preserve">Lastly, the diagnosis of Achilles </w:t>
            </w:r>
            <w:proofErr w:type="spellStart"/>
            <w:r w:rsidR="00575708">
              <w:rPr>
                <w:sz w:val="18"/>
                <w:szCs w:val="18"/>
              </w:rPr>
              <w:t>tendinopathy</w:t>
            </w:r>
            <w:proofErr w:type="spellEnd"/>
            <w:r w:rsidR="00575708">
              <w:rPr>
                <w:sz w:val="18"/>
                <w:szCs w:val="18"/>
              </w:rPr>
              <w:t xml:space="preserve"> leading to an inclusion in the study was based on one examiner. The use of an objective measure, such as an MRI or ultrasound would have been beneficial in reducing the possibility of a patient presenting with symptoms of Achilles </w:t>
            </w:r>
            <w:proofErr w:type="spellStart"/>
            <w:r w:rsidR="00575708">
              <w:rPr>
                <w:sz w:val="18"/>
                <w:szCs w:val="18"/>
              </w:rPr>
              <w:t>tendinopathy</w:t>
            </w:r>
            <w:proofErr w:type="spellEnd"/>
            <w:r w:rsidR="00575708">
              <w:rPr>
                <w:sz w:val="18"/>
                <w:szCs w:val="18"/>
              </w:rPr>
              <w:t xml:space="preserve"> but not having structural damage being included in the study.    </w:t>
            </w:r>
            <w:r w:rsidR="00707149">
              <w:rPr>
                <w:sz w:val="18"/>
                <w:szCs w:val="18"/>
              </w:rPr>
              <w:t xml:space="preserve"> </w:t>
            </w:r>
          </w:p>
          <w:p w14:paraId="4EB6080E" w14:textId="77777777" w:rsidR="001D4F60" w:rsidRPr="00580607" w:rsidRDefault="001D4F60" w:rsidP="009E380F">
            <w:pPr>
              <w:spacing w:before="120" w:after="120"/>
              <w:jc w:val="right"/>
              <w:rPr>
                <w:sz w:val="18"/>
                <w:szCs w:val="18"/>
              </w:rPr>
            </w:pPr>
          </w:p>
        </w:tc>
      </w:tr>
      <w:tr w:rsidR="001D4F60" w:rsidRPr="002F16E1" w14:paraId="34EC5FB0" w14:textId="77777777" w:rsidTr="009E380F">
        <w:tc>
          <w:tcPr>
            <w:tcW w:w="10421" w:type="dxa"/>
            <w:shd w:val="clear" w:color="auto" w:fill="auto"/>
          </w:tcPr>
          <w:p w14:paraId="4FC90E7E"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6F3DE7A4"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444D8AF8" w14:textId="77777777" w:rsidTr="009E380F">
        <w:tc>
          <w:tcPr>
            <w:tcW w:w="10421" w:type="dxa"/>
            <w:tcBorders>
              <w:bottom w:val="single" w:sz="4" w:space="0" w:color="auto"/>
            </w:tcBorders>
            <w:shd w:val="clear" w:color="auto" w:fill="auto"/>
          </w:tcPr>
          <w:p w14:paraId="7EEE9474" w14:textId="7DE941A9" w:rsidR="00D73BF6" w:rsidRPr="00D73BF6" w:rsidRDefault="00D73BF6" w:rsidP="00A11D74">
            <w:pPr>
              <w:pStyle w:val="ListParagraph"/>
              <w:numPr>
                <w:ilvl w:val="0"/>
                <w:numId w:val="24"/>
              </w:numPr>
              <w:spacing w:before="120" w:after="120"/>
              <w:rPr>
                <w:sz w:val="18"/>
                <w:szCs w:val="18"/>
              </w:rPr>
            </w:pPr>
            <w:r>
              <w:rPr>
                <w:sz w:val="18"/>
                <w:szCs w:val="18"/>
              </w:rPr>
              <w:t xml:space="preserve">MCID was not calculated for the FAOS because the study authors determined that a change in 10% indicated a clinical improvement in score. </w:t>
            </w:r>
          </w:p>
          <w:p w14:paraId="50BA8494" w14:textId="4AAF74B4" w:rsidR="00EF280A" w:rsidRDefault="008E1FAF" w:rsidP="00A11D74">
            <w:pPr>
              <w:pStyle w:val="ListParagraph"/>
              <w:numPr>
                <w:ilvl w:val="0"/>
                <w:numId w:val="24"/>
              </w:numPr>
              <w:spacing w:before="120" w:after="120"/>
              <w:rPr>
                <w:sz w:val="18"/>
                <w:szCs w:val="18"/>
              </w:rPr>
            </w:pPr>
            <w:r>
              <w:rPr>
                <w:b/>
                <w:sz w:val="18"/>
                <w:szCs w:val="18"/>
              </w:rPr>
              <w:t xml:space="preserve">FAOS pain subscale: </w:t>
            </w:r>
            <w:r w:rsidR="001A6F1D">
              <w:rPr>
                <w:sz w:val="18"/>
                <w:szCs w:val="18"/>
              </w:rPr>
              <w:t xml:space="preserve">Patients in all groups improved significantly across all follow-up times (P&lt;0.05). </w:t>
            </w:r>
            <w:r w:rsidR="001A6F1D">
              <w:rPr>
                <w:sz w:val="18"/>
                <w:szCs w:val="18"/>
              </w:rPr>
              <w:lastRenderedPageBreak/>
              <w:t xml:space="preserve">However, it should be noted that the EE group improved more rapidly than the ENS and NS group at 6 weeks. At 6 weeks the EE group demonstrated a 27% reduction in pain compared to 18% in the ENS group and 19% in the NS group. </w:t>
            </w:r>
            <w:r w:rsidR="00D73BF6">
              <w:rPr>
                <w:sz w:val="18"/>
                <w:szCs w:val="18"/>
              </w:rPr>
              <w:t xml:space="preserve">This is important to the clinician in that to achieve </w:t>
            </w:r>
            <w:r w:rsidR="00585DD1">
              <w:rPr>
                <w:sz w:val="18"/>
                <w:szCs w:val="18"/>
              </w:rPr>
              <w:t xml:space="preserve">the best results in pain reduction quickly, an eccentric program should be considered. It is also important to note that the patients performing eccentric exercises had much better compliance during the first week than those using a night splint. At 12 weeks the EE group demonstrated </w:t>
            </w:r>
            <w:r w:rsidR="00D06E57">
              <w:rPr>
                <w:sz w:val="18"/>
                <w:szCs w:val="18"/>
              </w:rPr>
              <w:t>a 37%* reduction in pain compared to 22% in the ENS group and 13% in the NS group. At 26 weeks the EE group demonstrated a 40% reduction in pain compared to 22% in the ENS group and 17% in the NS group. At 52 weeks the EE group demonstrated a 42% reduction in pain compared to 36%* in the ENS group and 36%</w:t>
            </w:r>
            <w:r w:rsidR="00AE5501">
              <w:rPr>
                <w:sz w:val="18"/>
                <w:szCs w:val="18"/>
              </w:rPr>
              <w:t>*</w:t>
            </w:r>
            <w:r w:rsidR="00D06E57">
              <w:rPr>
                <w:sz w:val="18"/>
                <w:szCs w:val="18"/>
              </w:rPr>
              <w:t xml:space="preserve"> in the NS group. </w:t>
            </w:r>
            <w:r w:rsidR="00EF280A">
              <w:rPr>
                <w:sz w:val="18"/>
                <w:szCs w:val="18"/>
              </w:rPr>
              <w:t xml:space="preserve">The effect size at baseline was none (-0.06) between EE and NS, none (0.00) between EE and ENS, and none (0.07) between ENS and NS. The effect size at 6 weeks was small (0.26) between EE and NS, moderate (0.43) between EE and ENS, and small (0.13) between ENS and NS. </w:t>
            </w:r>
            <w:r w:rsidR="000F15B9">
              <w:rPr>
                <w:sz w:val="18"/>
                <w:szCs w:val="18"/>
              </w:rPr>
              <w:t xml:space="preserve">The effect size at 12 weeks was moderate (0.66) between EE and NS, moderate (0.47) between EE and ENS, and small (0.27) between ENS and NS. The effect size at 26 weeks was moderate (0.48) between EE and NS, moderate (0.50) between EE and ENS, and </w:t>
            </w:r>
            <w:r w:rsidR="00C23116">
              <w:rPr>
                <w:sz w:val="18"/>
                <w:szCs w:val="18"/>
              </w:rPr>
              <w:t xml:space="preserve">none (0.07) between ENS and NS. The effect size at 52 weeks was small (0.17) between EE and NS, small (0.22) between EE and ENS, and none (0.05) between ENS and NS. </w:t>
            </w:r>
            <w:r w:rsidR="00286660">
              <w:rPr>
                <w:sz w:val="18"/>
                <w:szCs w:val="18"/>
              </w:rPr>
              <w:t xml:space="preserve">The only clinically significant differences in pain scores within the groups were between the EE group and the NS group at 12 and 26 weeks, in which there was more than a 10 point score difference in favour of the EE group. </w:t>
            </w:r>
          </w:p>
          <w:p w14:paraId="40F06303" w14:textId="0F33E9C7" w:rsidR="008E1FAF" w:rsidRDefault="009568A1" w:rsidP="00A11D74">
            <w:pPr>
              <w:pStyle w:val="ListParagraph"/>
              <w:numPr>
                <w:ilvl w:val="0"/>
                <w:numId w:val="24"/>
              </w:numPr>
              <w:spacing w:before="120" w:after="120"/>
              <w:rPr>
                <w:sz w:val="18"/>
                <w:szCs w:val="18"/>
              </w:rPr>
            </w:pPr>
            <w:r>
              <w:rPr>
                <w:sz w:val="18"/>
                <w:szCs w:val="18"/>
              </w:rPr>
              <w:t>T</w:t>
            </w:r>
            <w:r w:rsidR="002E7816">
              <w:rPr>
                <w:sz w:val="18"/>
                <w:szCs w:val="18"/>
              </w:rPr>
              <w:t>he above</w:t>
            </w:r>
            <w:r>
              <w:rPr>
                <w:sz w:val="18"/>
                <w:szCs w:val="18"/>
              </w:rPr>
              <w:t xml:space="preserve"> information shows a trend of eccentric exercises </w:t>
            </w:r>
            <w:r w:rsidR="00C23116">
              <w:rPr>
                <w:sz w:val="18"/>
                <w:szCs w:val="18"/>
              </w:rPr>
              <w:t xml:space="preserve">alone </w:t>
            </w:r>
            <w:r>
              <w:rPr>
                <w:sz w:val="18"/>
                <w:szCs w:val="18"/>
              </w:rPr>
              <w:t xml:space="preserve">being more efficient in reducing pain than eccentric exercises + night splint or a night splint alone. </w:t>
            </w:r>
            <w:r w:rsidR="00C23116">
              <w:rPr>
                <w:sz w:val="18"/>
                <w:szCs w:val="18"/>
              </w:rPr>
              <w:t xml:space="preserve">The data also indicates that the use of a night splint diminishes the effect of eccentric exercises. </w:t>
            </w:r>
            <w:r w:rsidR="00C47D4E">
              <w:rPr>
                <w:sz w:val="18"/>
                <w:szCs w:val="18"/>
              </w:rPr>
              <w:t xml:space="preserve">Using a night splint alone demonstrates inferior pain reduction than either the EE or ENS groups. </w:t>
            </w:r>
            <w:r w:rsidR="003B40D3">
              <w:rPr>
                <w:sz w:val="18"/>
                <w:szCs w:val="18"/>
              </w:rPr>
              <w:t xml:space="preserve">Overall, no strong conclusions can be made regarding the effectiveness of EE compared to ENS or NS in relieving pain. </w:t>
            </w:r>
          </w:p>
          <w:p w14:paraId="5C17EF14" w14:textId="64D8C867" w:rsidR="00C47D4E" w:rsidRDefault="00C47D4E" w:rsidP="00A11D74">
            <w:pPr>
              <w:pStyle w:val="ListParagraph"/>
              <w:numPr>
                <w:ilvl w:val="0"/>
                <w:numId w:val="24"/>
              </w:numPr>
              <w:spacing w:before="120" w:after="120"/>
              <w:rPr>
                <w:sz w:val="18"/>
                <w:szCs w:val="18"/>
              </w:rPr>
            </w:pPr>
            <w:r>
              <w:rPr>
                <w:b/>
                <w:sz w:val="18"/>
                <w:szCs w:val="18"/>
              </w:rPr>
              <w:t xml:space="preserve">Physical activity level: </w:t>
            </w:r>
            <w:r>
              <w:rPr>
                <w:sz w:val="18"/>
                <w:szCs w:val="18"/>
              </w:rPr>
              <w:t xml:space="preserve">8 patients in the EE group, 8 patients in the ENS group, and 10 patients in the NS group participated in sports before onset of Achilles </w:t>
            </w:r>
            <w:proofErr w:type="spellStart"/>
            <w:r>
              <w:rPr>
                <w:sz w:val="18"/>
                <w:szCs w:val="18"/>
              </w:rPr>
              <w:t>tendinopathy</w:t>
            </w:r>
            <w:proofErr w:type="spellEnd"/>
            <w:r>
              <w:rPr>
                <w:sz w:val="18"/>
                <w:szCs w:val="18"/>
              </w:rPr>
              <w:t xml:space="preserve">. At 12 weeks, 5/8, 3/8, and </w:t>
            </w:r>
            <w:r w:rsidR="00156963">
              <w:rPr>
                <w:sz w:val="18"/>
                <w:szCs w:val="18"/>
              </w:rPr>
              <w:t>1/10 patients returned to sports in the EE, ENS and NS groups r</w:t>
            </w:r>
            <w:r w:rsidR="009C4DC0">
              <w:rPr>
                <w:sz w:val="18"/>
                <w:szCs w:val="18"/>
              </w:rPr>
              <w:t>espectively. Overall, while no</w:t>
            </w:r>
            <w:r w:rsidR="00156963">
              <w:rPr>
                <w:sz w:val="18"/>
                <w:szCs w:val="18"/>
              </w:rPr>
              <w:t xml:space="preserve"> statistical analysis was performed, there is a greater trend towards eccentric exercises being effective in return to sport. </w:t>
            </w:r>
          </w:p>
          <w:p w14:paraId="36986A89" w14:textId="5A241378" w:rsidR="00156963" w:rsidRDefault="00156963" w:rsidP="00A11D74">
            <w:pPr>
              <w:pStyle w:val="ListParagraph"/>
              <w:numPr>
                <w:ilvl w:val="0"/>
                <w:numId w:val="24"/>
              </w:numPr>
              <w:spacing w:before="120" w:after="120"/>
              <w:rPr>
                <w:sz w:val="18"/>
                <w:szCs w:val="18"/>
              </w:rPr>
            </w:pPr>
            <w:r>
              <w:rPr>
                <w:b/>
                <w:sz w:val="18"/>
                <w:szCs w:val="18"/>
              </w:rPr>
              <w:t>Difficulty during sporting activities:</w:t>
            </w:r>
            <w:r>
              <w:rPr>
                <w:sz w:val="18"/>
                <w:szCs w:val="18"/>
              </w:rPr>
              <w:t xml:space="preserve"> there was a greater trend of less patients (27%) in the EE group reporting moderate-to-extreme difficulty during sporting activities at 12 weeks compared to 58% in the ENS group and 50% in the NS group. This trend continued through the </w:t>
            </w:r>
            <w:r w:rsidR="000F24E9">
              <w:rPr>
                <w:sz w:val="18"/>
                <w:szCs w:val="18"/>
              </w:rPr>
              <w:t>52-week</w:t>
            </w:r>
            <w:r>
              <w:rPr>
                <w:sz w:val="18"/>
                <w:szCs w:val="18"/>
              </w:rPr>
              <w:t xml:space="preserve"> follow-up, in which 15%, 54%, and 56% reported difficulty during sporting activities in the EE, ENS and NS groups respectively. It was interesting to see that the NS group reported a greater percentage</w:t>
            </w:r>
            <w:r w:rsidR="000F4125">
              <w:rPr>
                <w:sz w:val="18"/>
                <w:szCs w:val="18"/>
              </w:rPr>
              <w:t xml:space="preserve"> if difficulty at 52 weeks compared to at 12 weeks. This may have been a result of the fluctuation in loss to follow-up. </w:t>
            </w:r>
          </w:p>
          <w:p w14:paraId="7DA4C2D3" w14:textId="49175A79" w:rsidR="00D06E57" w:rsidRDefault="000F4125" w:rsidP="009E380F">
            <w:pPr>
              <w:pStyle w:val="ListParagraph"/>
              <w:numPr>
                <w:ilvl w:val="0"/>
                <w:numId w:val="24"/>
              </w:numPr>
              <w:spacing w:before="120" w:after="120"/>
              <w:rPr>
                <w:sz w:val="18"/>
                <w:szCs w:val="18"/>
              </w:rPr>
            </w:pPr>
            <w:r>
              <w:rPr>
                <w:b/>
                <w:sz w:val="18"/>
                <w:szCs w:val="18"/>
              </w:rPr>
              <w:t>Compliance:</w:t>
            </w:r>
            <w:r>
              <w:rPr>
                <w:sz w:val="18"/>
                <w:szCs w:val="18"/>
              </w:rPr>
              <w:t xml:space="preserve"> </w:t>
            </w:r>
            <w:r w:rsidR="009B66AD">
              <w:rPr>
                <w:sz w:val="18"/>
                <w:szCs w:val="18"/>
              </w:rPr>
              <w:t>The study authors considered compliance to be good if the subjects performed at least 75% of the recommended exercises or wore the night splint at least 75% of the time during the week. For those performing eccentric exercises, about 95% of them reported good compliance in the first week. From weeks 2-7 about 80% of the patients had good compliance. Compliance started to progressively decrease following week 7, reaching around 50% by week 13. It is plausible to believe that outcomes would have been even greater in the groups performing eccentric exercises if compliance remained good throughout the intervention period. This is noteworthy in that a</w:t>
            </w:r>
            <w:r w:rsidR="00ED5CAD">
              <w:rPr>
                <w:sz w:val="18"/>
                <w:szCs w:val="18"/>
              </w:rPr>
              <w:t xml:space="preserve"> practicing</w:t>
            </w:r>
            <w:r w:rsidR="009B66AD">
              <w:rPr>
                <w:sz w:val="18"/>
                <w:szCs w:val="18"/>
              </w:rPr>
              <w:t xml:space="preserve"> clinician should advocate to their patients </w:t>
            </w:r>
            <w:r w:rsidR="0093325D">
              <w:rPr>
                <w:sz w:val="18"/>
                <w:szCs w:val="18"/>
              </w:rPr>
              <w:t>the importance of maintaining</w:t>
            </w:r>
            <w:r w:rsidR="009B66AD">
              <w:rPr>
                <w:sz w:val="18"/>
                <w:szCs w:val="18"/>
              </w:rPr>
              <w:t xml:space="preserve"> compliance in order to achieve optimal pain reduction. </w:t>
            </w:r>
            <w:r w:rsidR="00ED5CAD">
              <w:rPr>
                <w:sz w:val="18"/>
                <w:szCs w:val="18"/>
              </w:rPr>
              <w:t xml:space="preserve">Compliance progressively increased in patients wearing the night splint during the first 7 weeks and then started to decrease thereafter. Overall, patients wearing the night splint reported good compliance throughout most of the intervention period. Because compliance in wearing the night splint was generally good throughout most of the study and was generally poor for those performing eccentric exercises, one may suspect that outcomes could have potentially been </w:t>
            </w:r>
            <w:r w:rsidR="00111BBF">
              <w:rPr>
                <w:sz w:val="18"/>
                <w:szCs w:val="18"/>
              </w:rPr>
              <w:t xml:space="preserve">close to their peak for those wearing a night splint, while outcomes in those performing eccentric exercises could have potentially been </w:t>
            </w:r>
            <w:r w:rsidR="00ED5CAD">
              <w:rPr>
                <w:sz w:val="18"/>
                <w:szCs w:val="18"/>
              </w:rPr>
              <w:t xml:space="preserve">better </w:t>
            </w:r>
            <w:r w:rsidR="00111BBF">
              <w:rPr>
                <w:sz w:val="18"/>
                <w:szCs w:val="18"/>
              </w:rPr>
              <w:t xml:space="preserve">if greater compliance was achieved. </w:t>
            </w:r>
            <w:r w:rsidR="00D92D2B">
              <w:rPr>
                <w:sz w:val="18"/>
                <w:szCs w:val="18"/>
              </w:rPr>
              <w:t>However the authors state, “the numbers were too small in each group to calculate the association between compliance and outcome” (</w:t>
            </w:r>
            <w:proofErr w:type="spellStart"/>
            <w:r w:rsidR="00D92D2B">
              <w:rPr>
                <w:sz w:val="18"/>
                <w:szCs w:val="18"/>
              </w:rPr>
              <w:t>Roos</w:t>
            </w:r>
            <w:proofErr w:type="spellEnd"/>
            <w:r w:rsidR="00D92D2B">
              <w:rPr>
                <w:sz w:val="18"/>
                <w:szCs w:val="18"/>
              </w:rPr>
              <w:t xml:space="preserve"> et al, 2004, p. 291).</w:t>
            </w:r>
          </w:p>
          <w:p w14:paraId="7AE5E5CC" w14:textId="77777777" w:rsidR="00D92D2B" w:rsidRPr="00D92D2B" w:rsidRDefault="00D92D2B" w:rsidP="00D92D2B">
            <w:pPr>
              <w:pStyle w:val="ListParagraph"/>
              <w:spacing w:before="120" w:after="120"/>
              <w:rPr>
                <w:sz w:val="18"/>
                <w:szCs w:val="18"/>
              </w:rPr>
            </w:pPr>
          </w:p>
          <w:p w14:paraId="5650037F" w14:textId="0767CF9D" w:rsidR="001D4F60" w:rsidRPr="00580607" w:rsidRDefault="00D06E57" w:rsidP="009E380F">
            <w:pPr>
              <w:spacing w:before="120" w:after="120"/>
              <w:rPr>
                <w:sz w:val="18"/>
                <w:szCs w:val="18"/>
              </w:rPr>
            </w:pPr>
            <w:r>
              <w:rPr>
                <w:sz w:val="18"/>
                <w:szCs w:val="18"/>
              </w:rPr>
              <w:t>*I calculated these percentages because they were not calculated in the original article.</w:t>
            </w:r>
          </w:p>
          <w:p w14:paraId="56A2F2E8" w14:textId="77777777" w:rsidR="001D4F60" w:rsidRPr="00580607" w:rsidRDefault="001D4F60" w:rsidP="009E380F">
            <w:pPr>
              <w:spacing w:before="120" w:after="120"/>
              <w:jc w:val="right"/>
              <w:rPr>
                <w:sz w:val="18"/>
                <w:szCs w:val="18"/>
              </w:rPr>
            </w:pPr>
          </w:p>
        </w:tc>
      </w:tr>
    </w:tbl>
    <w:p w14:paraId="6DD91A04" w14:textId="77777777" w:rsidR="001D4F60" w:rsidRDefault="001D4F60" w:rsidP="001D4F60">
      <w:pPr>
        <w:spacing w:before="240" w:after="240"/>
        <w:rPr>
          <w:b/>
          <w:sz w:val="18"/>
          <w:szCs w:val="18"/>
        </w:rPr>
      </w:pPr>
    </w:p>
    <w:p w14:paraId="3CC8080F" w14:textId="0B837718" w:rsidR="001D4F60" w:rsidRDefault="001D4F60" w:rsidP="001D4F60">
      <w:pPr>
        <w:spacing w:before="240" w:after="240"/>
        <w:rPr>
          <w:b/>
          <w:sz w:val="18"/>
          <w:szCs w:val="18"/>
        </w:rPr>
      </w:pPr>
      <w:r>
        <w:rPr>
          <w:b/>
          <w:sz w:val="18"/>
          <w:szCs w:val="18"/>
        </w:rPr>
        <w:t xml:space="preserve">(3) </w:t>
      </w:r>
      <w:r w:rsidRPr="001D4F60">
        <w:rPr>
          <w:b/>
          <w:sz w:val="18"/>
          <w:szCs w:val="18"/>
        </w:rPr>
        <w:t xml:space="preserve">Description and appraisal of </w:t>
      </w:r>
      <w:r w:rsidR="00196E2A">
        <w:rPr>
          <w:b/>
          <w:sz w:val="18"/>
          <w:szCs w:val="18"/>
        </w:rPr>
        <w:t xml:space="preserve">Achilles </w:t>
      </w:r>
      <w:proofErr w:type="spellStart"/>
      <w:r w:rsidR="00196E2A">
        <w:rPr>
          <w:b/>
          <w:sz w:val="18"/>
          <w:szCs w:val="18"/>
        </w:rPr>
        <w:t>paratendinitis</w:t>
      </w:r>
      <w:proofErr w:type="spellEnd"/>
      <w:r w:rsidR="00196E2A">
        <w:rPr>
          <w:b/>
          <w:sz w:val="18"/>
          <w:szCs w:val="18"/>
        </w:rPr>
        <w:t>: an evaluation of steroid injection</w:t>
      </w:r>
      <w:r w:rsidRPr="001D4F60">
        <w:rPr>
          <w:b/>
          <w:sz w:val="18"/>
          <w:szCs w:val="18"/>
        </w:rPr>
        <w:t xml:space="preserve"> by </w:t>
      </w:r>
      <w:proofErr w:type="spellStart"/>
      <w:r w:rsidR="00196E2A">
        <w:rPr>
          <w:b/>
          <w:sz w:val="18"/>
          <w:szCs w:val="18"/>
        </w:rPr>
        <w:t>DaCruz</w:t>
      </w:r>
      <w:proofErr w:type="spellEnd"/>
      <w:r w:rsidR="00196E2A">
        <w:rPr>
          <w:b/>
          <w:sz w:val="18"/>
          <w:szCs w:val="18"/>
        </w:rPr>
        <w:t xml:space="preserve"> DJ, </w:t>
      </w:r>
      <w:proofErr w:type="spellStart"/>
      <w:r w:rsidR="00196E2A">
        <w:rPr>
          <w:b/>
          <w:sz w:val="18"/>
          <w:szCs w:val="18"/>
        </w:rPr>
        <w:t>Geeson</w:t>
      </w:r>
      <w:proofErr w:type="spellEnd"/>
      <w:r w:rsidR="00196E2A">
        <w:rPr>
          <w:b/>
          <w:sz w:val="18"/>
          <w:szCs w:val="18"/>
        </w:rPr>
        <w:t xml:space="preserve"> M, Allen MJ, et al. (1988)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CA7C0E7" w14:textId="77777777" w:rsidTr="009E380F">
        <w:tc>
          <w:tcPr>
            <w:tcW w:w="10421" w:type="dxa"/>
            <w:shd w:val="clear" w:color="auto" w:fill="E6E6E6"/>
          </w:tcPr>
          <w:p w14:paraId="60EA03F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6164E09" w14:textId="77777777" w:rsidTr="009E380F">
        <w:tc>
          <w:tcPr>
            <w:tcW w:w="10421" w:type="dxa"/>
            <w:tcBorders>
              <w:bottom w:val="single" w:sz="4" w:space="0" w:color="auto"/>
            </w:tcBorders>
            <w:shd w:val="clear" w:color="auto" w:fill="auto"/>
          </w:tcPr>
          <w:p w14:paraId="12C26B66" w14:textId="48447213" w:rsidR="001D4F60" w:rsidRPr="002F16E1" w:rsidRDefault="00D61347" w:rsidP="009E380F">
            <w:pPr>
              <w:spacing w:before="120" w:after="120"/>
              <w:rPr>
                <w:sz w:val="18"/>
                <w:szCs w:val="18"/>
              </w:rPr>
            </w:pPr>
            <w:r>
              <w:rPr>
                <w:sz w:val="18"/>
                <w:szCs w:val="18"/>
              </w:rPr>
              <w:t xml:space="preserve">The aim of this study was to determine the effectiveness of a </w:t>
            </w:r>
            <w:proofErr w:type="spellStart"/>
            <w:r>
              <w:rPr>
                <w:sz w:val="18"/>
                <w:szCs w:val="18"/>
              </w:rPr>
              <w:t>peritendonous</w:t>
            </w:r>
            <w:proofErr w:type="spellEnd"/>
            <w:r>
              <w:rPr>
                <w:sz w:val="18"/>
                <w:szCs w:val="18"/>
              </w:rPr>
              <w:t xml:space="preserve"> injection of methyl prednisolone acetate (</w:t>
            </w:r>
            <w:proofErr w:type="spellStart"/>
            <w:r>
              <w:rPr>
                <w:sz w:val="18"/>
                <w:szCs w:val="18"/>
              </w:rPr>
              <w:t>Depo</w:t>
            </w:r>
            <w:proofErr w:type="spellEnd"/>
            <w:r>
              <w:rPr>
                <w:sz w:val="18"/>
                <w:szCs w:val="18"/>
              </w:rPr>
              <w:t xml:space="preserve"> </w:t>
            </w:r>
            <w:proofErr w:type="spellStart"/>
            <w:r>
              <w:rPr>
                <w:sz w:val="18"/>
                <w:szCs w:val="18"/>
              </w:rPr>
              <w:t>Medrone</w:t>
            </w:r>
            <w:proofErr w:type="spellEnd"/>
            <w:r>
              <w:rPr>
                <w:sz w:val="18"/>
                <w:szCs w:val="18"/>
              </w:rPr>
              <w:t xml:space="preserve">) in the treatment of Achilles </w:t>
            </w:r>
            <w:proofErr w:type="spellStart"/>
            <w:r>
              <w:rPr>
                <w:sz w:val="18"/>
                <w:szCs w:val="18"/>
              </w:rPr>
              <w:t>paratendonitis</w:t>
            </w:r>
            <w:proofErr w:type="spellEnd"/>
            <w:r>
              <w:rPr>
                <w:sz w:val="18"/>
                <w:szCs w:val="18"/>
              </w:rPr>
              <w:t xml:space="preserve">. </w:t>
            </w:r>
          </w:p>
          <w:p w14:paraId="479EE725" w14:textId="77777777" w:rsidR="001D4F60" w:rsidRPr="002F16E1" w:rsidRDefault="001D4F60" w:rsidP="009E380F">
            <w:pPr>
              <w:spacing w:before="120" w:after="120"/>
              <w:jc w:val="right"/>
              <w:rPr>
                <w:sz w:val="18"/>
                <w:szCs w:val="18"/>
              </w:rPr>
            </w:pPr>
          </w:p>
        </w:tc>
      </w:tr>
      <w:tr w:rsidR="001D4F60" w:rsidRPr="002F16E1" w14:paraId="68FF9468" w14:textId="77777777" w:rsidTr="009E380F">
        <w:tc>
          <w:tcPr>
            <w:tcW w:w="10421" w:type="dxa"/>
            <w:shd w:val="clear" w:color="auto" w:fill="E6E6E6"/>
          </w:tcPr>
          <w:p w14:paraId="7BBBA6EC" w14:textId="4E264A95" w:rsidR="001D4F60" w:rsidRPr="00FB0D4B" w:rsidRDefault="001D4F60" w:rsidP="009E380F">
            <w:pPr>
              <w:spacing w:before="120" w:after="120"/>
              <w:jc w:val="both"/>
              <w:rPr>
                <w:b/>
                <w:sz w:val="18"/>
                <w:szCs w:val="18"/>
              </w:rPr>
            </w:pPr>
            <w:r w:rsidRPr="002F16E1">
              <w:rPr>
                <w:b/>
                <w:sz w:val="18"/>
                <w:szCs w:val="18"/>
              </w:rPr>
              <w:lastRenderedPageBreak/>
              <w:t>Study Design</w:t>
            </w:r>
          </w:p>
        </w:tc>
      </w:tr>
      <w:tr w:rsidR="001D4F60" w:rsidRPr="002F16E1" w14:paraId="0B5FD22E" w14:textId="77777777" w:rsidTr="009E380F">
        <w:tc>
          <w:tcPr>
            <w:tcW w:w="10421" w:type="dxa"/>
            <w:tcBorders>
              <w:bottom w:val="single" w:sz="4" w:space="0" w:color="auto"/>
            </w:tcBorders>
            <w:shd w:val="clear" w:color="auto" w:fill="auto"/>
          </w:tcPr>
          <w:p w14:paraId="2FED508B" w14:textId="0E68B0F8" w:rsidR="001D4F60" w:rsidRDefault="00B75FF7" w:rsidP="00B75FF7">
            <w:pPr>
              <w:pStyle w:val="ListParagraph"/>
              <w:numPr>
                <w:ilvl w:val="0"/>
                <w:numId w:val="25"/>
              </w:numPr>
              <w:spacing w:before="120" w:after="120"/>
              <w:rPr>
                <w:sz w:val="18"/>
                <w:szCs w:val="18"/>
              </w:rPr>
            </w:pPr>
            <w:r>
              <w:rPr>
                <w:sz w:val="18"/>
                <w:szCs w:val="18"/>
              </w:rPr>
              <w:t>Prospective, randomized, double-blind study</w:t>
            </w:r>
            <w:r w:rsidR="001C1B71">
              <w:rPr>
                <w:sz w:val="18"/>
                <w:szCs w:val="18"/>
              </w:rPr>
              <w:t xml:space="preserve"> (RCT)</w:t>
            </w:r>
          </w:p>
          <w:p w14:paraId="21F19E80" w14:textId="7E28945A" w:rsidR="00BC4870" w:rsidRDefault="00BC4870" w:rsidP="00B75FF7">
            <w:pPr>
              <w:pStyle w:val="ListParagraph"/>
              <w:numPr>
                <w:ilvl w:val="0"/>
                <w:numId w:val="25"/>
              </w:numPr>
              <w:spacing w:before="120" w:after="120"/>
              <w:rPr>
                <w:sz w:val="18"/>
                <w:szCs w:val="18"/>
              </w:rPr>
            </w:pPr>
            <w:r>
              <w:rPr>
                <w:sz w:val="18"/>
                <w:szCs w:val="18"/>
              </w:rPr>
              <w:t xml:space="preserve">Patients were randomly assigned to one of two groups. There was no mention in the study regarding randomization procedures or allocation concealment. </w:t>
            </w:r>
          </w:p>
          <w:p w14:paraId="7AC73453" w14:textId="2C113D9E" w:rsidR="00BC4870" w:rsidRDefault="00C4563B" w:rsidP="00B75FF7">
            <w:pPr>
              <w:pStyle w:val="ListParagraph"/>
              <w:numPr>
                <w:ilvl w:val="0"/>
                <w:numId w:val="25"/>
              </w:numPr>
              <w:spacing w:before="120" w:after="120"/>
              <w:rPr>
                <w:sz w:val="18"/>
                <w:szCs w:val="18"/>
              </w:rPr>
            </w:pPr>
            <w:proofErr w:type="gramStart"/>
            <w:r>
              <w:rPr>
                <w:sz w:val="18"/>
                <w:szCs w:val="18"/>
              </w:rPr>
              <w:t>Patients were assessed by a single physician at presentation, 3 weeks and 6 weeks, and then at 6-week intervals</w:t>
            </w:r>
            <w:proofErr w:type="gramEnd"/>
            <w:r w:rsidR="00B33A12">
              <w:rPr>
                <w:sz w:val="18"/>
                <w:szCs w:val="18"/>
              </w:rPr>
              <w:t xml:space="preserve"> thereafter</w:t>
            </w:r>
            <w:r>
              <w:rPr>
                <w:sz w:val="18"/>
                <w:szCs w:val="18"/>
              </w:rPr>
              <w:t>. Follow-up assessments were double blinded.</w:t>
            </w:r>
          </w:p>
          <w:p w14:paraId="5AA52916" w14:textId="791BF577" w:rsidR="001D4F60" w:rsidRPr="00B33A12" w:rsidRDefault="00C4563B" w:rsidP="009E380F">
            <w:pPr>
              <w:pStyle w:val="ListParagraph"/>
              <w:numPr>
                <w:ilvl w:val="0"/>
                <w:numId w:val="25"/>
              </w:numPr>
              <w:spacing w:before="120" w:after="120"/>
              <w:rPr>
                <w:sz w:val="18"/>
                <w:szCs w:val="18"/>
              </w:rPr>
            </w:pPr>
            <w:r>
              <w:rPr>
                <w:sz w:val="18"/>
                <w:szCs w:val="18"/>
              </w:rPr>
              <w:t>There was a crossover at 12 weeks for those who failed to respond to their treatment.</w:t>
            </w:r>
          </w:p>
          <w:p w14:paraId="0D2624D6" w14:textId="77777777" w:rsidR="001D4F60" w:rsidRPr="002F16E1" w:rsidRDefault="001D4F60" w:rsidP="009E380F">
            <w:pPr>
              <w:spacing w:before="120" w:after="120"/>
              <w:jc w:val="right"/>
              <w:rPr>
                <w:sz w:val="18"/>
                <w:szCs w:val="18"/>
              </w:rPr>
            </w:pPr>
          </w:p>
        </w:tc>
      </w:tr>
      <w:tr w:rsidR="001D4F60" w:rsidRPr="002F16E1" w14:paraId="63E2C6B5" w14:textId="77777777" w:rsidTr="009E380F">
        <w:tc>
          <w:tcPr>
            <w:tcW w:w="10421" w:type="dxa"/>
            <w:shd w:val="clear" w:color="auto" w:fill="E6E6E6"/>
          </w:tcPr>
          <w:p w14:paraId="3261901F" w14:textId="3752B6E5" w:rsidR="001D4F60" w:rsidRPr="00FB0D4B" w:rsidRDefault="001D4F60" w:rsidP="00FB0D4B">
            <w:pPr>
              <w:spacing w:before="120" w:after="120"/>
              <w:rPr>
                <w:b/>
                <w:sz w:val="18"/>
                <w:szCs w:val="18"/>
              </w:rPr>
            </w:pPr>
            <w:r w:rsidRPr="002F16E1">
              <w:rPr>
                <w:b/>
                <w:sz w:val="18"/>
                <w:szCs w:val="18"/>
              </w:rPr>
              <w:t>Setting</w:t>
            </w:r>
          </w:p>
        </w:tc>
      </w:tr>
      <w:tr w:rsidR="001D4F60" w:rsidRPr="002F16E1" w14:paraId="175B82A2" w14:textId="77777777" w:rsidTr="009E380F">
        <w:tc>
          <w:tcPr>
            <w:tcW w:w="10421" w:type="dxa"/>
            <w:tcBorders>
              <w:bottom w:val="single" w:sz="4" w:space="0" w:color="auto"/>
            </w:tcBorders>
            <w:shd w:val="clear" w:color="auto" w:fill="auto"/>
          </w:tcPr>
          <w:p w14:paraId="74728065" w14:textId="0716EB2B" w:rsidR="001D4F60" w:rsidRPr="002F16E1" w:rsidRDefault="00B33A12" w:rsidP="009E380F">
            <w:pPr>
              <w:spacing w:before="120" w:after="120"/>
              <w:rPr>
                <w:sz w:val="18"/>
                <w:szCs w:val="18"/>
              </w:rPr>
            </w:pPr>
            <w:r>
              <w:rPr>
                <w:sz w:val="18"/>
                <w:szCs w:val="18"/>
              </w:rPr>
              <w:t xml:space="preserve">Patients presenting to the Accident and Emergency Department, Leicester Royal Infirmary who met the inclusion criteria were admitted to the study. The study authors did not provide information as to where treatments were administered, where follow-up occurred, or where the patients had physical therapy. </w:t>
            </w:r>
          </w:p>
          <w:p w14:paraId="67B49F98" w14:textId="77777777" w:rsidR="001D4F60" w:rsidRPr="002F16E1" w:rsidRDefault="001D4F60" w:rsidP="009E380F">
            <w:pPr>
              <w:spacing w:before="120" w:after="120"/>
              <w:jc w:val="right"/>
              <w:rPr>
                <w:sz w:val="18"/>
                <w:szCs w:val="18"/>
              </w:rPr>
            </w:pPr>
          </w:p>
        </w:tc>
      </w:tr>
      <w:tr w:rsidR="001D4F60" w:rsidRPr="002F16E1" w14:paraId="78EA467E" w14:textId="77777777" w:rsidTr="009E380F">
        <w:tc>
          <w:tcPr>
            <w:tcW w:w="10421" w:type="dxa"/>
            <w:shd w:val="clear" w:color="auto" w:fill="E6E6E6"/>
          </w:tcPr>
          <w:p w14:paraId="1F1EBAA0" w14:textId="077BC1B5" w:rsidR="001D4F60" w:rsidRPr="00FB0D4B" w:rsidRDefault="001D4F60" w:rsidP="009E380F">
            <w:pPr>
              <w:spacing w:before="120" w:after="120"/>
              <w:rPr>
                <w:b/>
                <w:sz w:val="18"/>
                <w:szCs w:val="18"/>
              </w:rPr>
            </w:pPr>
            <w:r w:rsidRPr="002F16E1">
              <w:rPr>
                <w:b/>
                <w:sz w:val="18"/>
                <w:szCs w:val="18"/>
              </w:rPr>
              <w:t>Participants</w:t>
            </w:r>
          </w:p>
        </w:tc>
      </w:tr>
      <w:tr w:rsidR="001D4F60" w:rsidRPr="002F16E1" w14:paraId="5A191B3B" w14:textId="77777777" w:rsidTr="009E380F">
        <w:tc>
          <w:tcPr>
            <w:tcW w:w="10421" w:type="dxa"/>
            <w:tcBorders>
              <w:bottom w:val="single" w:sz="4" w:space="0" w:color="auto"/>
            </w:tcBorders>
            <w:shd w:val="clear" w:color="auto" w:fill="auto"/>
          </w:tcPr>
          <w:p w14:paraId="4E9F3CB8" w14:textId="7492F274" w:rsidR="001D4F60" w:rsidRDefault="009207ED" w:rsidP="009207ED">
            <w:pPr>
              <w:pStyle w:val="ListParagraph"/>
              <w:numPr>
                <w:ilvl w:val="0"/>
                <w:numId w:val="26"/>
              </w:numPr>
              <w:spacing w:before="120" w:after="120"/>
              <w:rPr>
                <w:sz w:val="18"/>
                <w:szCs w:val="18"/>
              </w:rPr>
            </w:pPr>
            <w:r>
              <w:rPr>
                <w:sz w:val="18"/>
                <w:szCs w:val="18"/>
              </w:rPr>
              <w:t xml:space="preserve">To be included in the study patients were required to have </w:t>
            </w:r>
            <w:proofErr w:type="spellStart"/>
            <w:r>
              <w:rPr>
                <w:sz w:val="18"/>
                <w:szCs w:val="18"/>
              </w:rPr>
              <w:t>midportion</w:t>
            </w:r>
            <w:proofErr w:type="spellEnd"/>
            <w:r>
              <w:rPr>
                <w:sz w:val="18"/>
                <w:szCs w:val="18"/>
              </w:rPr>
              <w:t xml:space="preserve"> (non-</w:t>
            </w:r>
            <w:proofErr w:type="spellStart"/>
            <w:r>
              <w:rPr>
                <w:sz w:val="18"/>
                <w:szCs w:val="18"/>
              </w:rPr>
              <w:t>insertional</w:t>
            </w:r>
            <w:proofErr w:type="spellEnd"/>
            <w:r>
              <w:rPr>
                <w:sz w:val="18"/>
                <w:szCs w:val="18"/>
              </w:rPr>
              <w:t xml:space="preserve">) Achilles </w:t>
            </w:r>
            <w:proofErr w:type="spellStart"/>
            <w:r>
              <w:rPr>
                <w:sz w:val="18"/>
                <w:szCs w:val="18"/>
              </w:rPr>
              <w:t>tendinopathy</w:t>
            </w:r>
            <w:proofErr w:type="spellEnd"/>
            <w:r>
              <w:rPr>
                <w:sz w:val="18"/>
                <w:szCs w:val="18"/>
              </w:rPr>
              <w:t xml:space="preserve">, in which their complaint of pain was not localized to the </w:t>
            </w:r>
            <w:proofErr w:type="spellStart"/>
            <w:r>
              <w:rPr>
                <w:sz w:val="18"/>
                <w:szCs w:val="18"/>
              </w:rPr>
              <w:t>musculotendinous</w:t>
            </w:r>
            <w:proofErr w:type="spellEnd"/>
            <w:r>
              <w:rPr>
                <w:sz w:val="18"/>
                <w:szCs w:val="18"/>
              </w:rPr>
              <w:t xml:space="preserve"> junction</w:t>
            </w:r>
            <w:r w:rsidR="00FD3F29">
              <w:rPr>
                <w:sz w:val="18"/>
                <w:szCs w:val="18"/>
              </w:rPr>
              <w:t xml:space="preserve"> or at the point of insertion. </w:t>
            </w:r>
          </w:p>
          <w:p w14:paraId="31259A59" w14:textId="02BF8CF0" w:rsidR="00AC72A8" w:rsidRDefault="00972B3C" w:rsidP="009207ED">
            <w:pPr>
              <w:pStyle w:val="ListParagraph"/>
              <w:numPr>
                <w:ilvl w:val="0"/>
                <w:numId w:val="26"/>
              </w:numPr>
              <w:spacing w:before="120" w:after="120"/>
              <w:rPr>
                <w:sz w:val="18"/>
                <w:szCs w:val="18"/>
              </w:rPr>
            </w:pPr>
            <w:r>
              <w:rPr>
                <w:sz w:val="18"/>
                <w:szCs w:val="18"/>
              </w:rPr>
              <w:t>This study initially enrolled 36 patients, but six refused to attend physical therapy and two refused further injection when they came to cross-over, thus leaving 28 total patients that were studied</w:t>
            </w:r>
            <w:r w:rsidR="00AC72A8">
              <w:rPr>
                <w:sz w:val="18"/>
                <w:szCs w:val="18"/>
              </w:rPr>
              <w:t>; 18 males and 10 females with an average age of 28 (22-46).</w:t>
            </w:r>
          </w:p>
          <w:p w14:paraId="098E8DC9" w14:textId="0F19FE46" w:rsidR="00AC72A8" w:rsidRDefault="00AC72A8" w:rsidP="009207ED">
            <w:pPr>
              <w:pStyle w:val="ListParagraph"/>
              <w:numPr>
                <w:ilvl w:val="0"/>
                <w:numId w:val="26"/>
              </w:numPr>
              <w:spacing w:before="120" w:after="120"/>
              <w:rPr>
                <w:sz w:val="18"/>
                <w:szCs w:val="18"/>
              </w:rPr>
            </w:pPr>
            <w:r>
              <w:rPr>
                <w:sz w:val="18"/>
                <w:szCs w:val="18"/>
              </w:rPr>
              <w:t>20 patients were active in sports, running more than three miles per day, four regularly played racquet sports, and four participated in no sports.</w:t>
            </w:r>
          </w:p>
          <w:p w14:paraId="733C8A4F" w14:textId="2B1A23DA" w:rsidR="00AC72A8" w:rsidRDefault="00AC72A8" w:rsidP="009207ED">
            <w:pPr>
              <w:pStyle w:val="ListParagraph"/>
              <w:numPr>
                <w:ilvl w:val="0"/>
                <w:numId w:val="26"/>
              </w:numPr>
              <w:spacing w:before="120" w:after="120"/>
              <w:rPr>
                <w:sz w:val="18"/>
                <w:szCs w:val="18"/>
              </w:rPr>
            </w:pPr>
            <w:r>
              <w:rPr>
                <w:sz w:val="18"/>
                <w:szCs w:val="18"/>
              </w:rPr>
              <w:t xml:space="preserve">The most common factor for onset of Achilles </w:t>
            </w:r>
            <w:proofErr w:type="spellStart"/>
            <w:r>
              <w:rPr>
                <w:sz w:val="18"/>
                <w:szCs w:val="18"/>
              </w:rPr>
              <w:t>tendinopathy</w:t>
            </w:r>
            <w:proofErr w:type="spellEnd"/>
            <w:r>
              <w:rPr>
                <w:sz w:val="18"/>
                <w:szCs w:val="18"/>
              </w:rPr>
              <w:t xml:space="preserve"> in this </w:t>
            </w:r>
            <w:r w:rsidR="00927FC3">
              <w:rPr>
                <w:sz w:val="18"/>
                <w:szCs w:val="18"/>
              </w:rPr>
              <w:t xml:space="preserve">cohort was a sudden increase in training. </w:t>
            </w:r>
          </w:p>
          <w:p w14:paraId="616A029A" w14:textId="650B3D3B" w:rsidR="00DD7C10" w:rsidRDefault="00DD7C10" w:rsidP="009207ED">
            <w:pPr>
              <w:pStyle w:val="ListParagraph"/>
              <w:numPr>
                <w:ilvl w:val="0"/>
                <w:numId w:val="26"/>
              </w:numPr>
              <w:spacing w:before="120" w:after="120"/>
              <w:rPr>
                <w:sz w:val="18"/>
                <w:szCs w:val="18"/>
              </w:rPr>
            </w:pPr>
            <w:r>
              <w:rPr>
                <w:sz w:val="18"/>
                <w:szCs w:val="18"/>
              </w:rPr>
              <w:t>None of the patients demonstrated swelling or movement limitations in the ankle at baseline.</w:t>
            </w:r>
            <w:r w:rsidR="00743AB7">
              <w:rPr>
                <w:sz w:val="18"/>
                <w:szCs w:val="18"/>
              </w:rPr>
              <w:t xml:space="preserve"> Furthermore, no patient</w:t>
            </w:r>
            <w:r>
              <w:rPr>
                <w:sz w:val="18"/>
                <w:szCs w:val="18"/>
              </w:rPr>
              <w:t xml:space="preserve"> demonstrated any soft tissue calcification via radiographs. </w:t>
            </w:r>
          </w:p>
          <w:p w14:paraId="5A7DF646" w14:textId="0A9F19A2" w:rsidR="00972B3C" w:rsidRDefault="00AC72A8" w:rsidP="009207ED">
            <w:pPr>
              <w:pStyle w:val="ListParagraph"/>
              <w:numPr>
                <w:ilvl w:val="0"/>
                <w:numId w:val="26"/>
              </w:numPr>
              <w:spacing w:before="120" w:after="120"/>
              <w:rPr>
                <w:sz w:val="18"/>
                <w:szCs w:val="18"/>
              </w:rPr>
            </w:pPr>
            <w:r>
              <w:rPr>
                <w:sz w:val="18"/>
                <w:szCs w:val="18"/>
              </w:rPr>
              <w:t xml:space="preserve">Six patients had bilateral Achilles </w:t>
            </w:r>
            <w:proofErr w:type="spellStart"/>
            <w:r>
              <w:rPr>
                <w:sz w:val="18"/>
                <w:szCs w:val="18"/>
              </w:rPr>
              <w:t>tendinopathy</w:t>
            </w:r>
            <w:proofErr w:type="spellEnd"/>
            <w:r>
              <w:rPr>
                <w:sz w:val="18"/>
                <w:szCs w:val="18"/>
              </w:rPr>
              <w:t xml:space="preserve">, leaving a total of 34 tendons that were studied. </w:t>
            </w:r>
          </w:p>
          <w:p w14:paraId="43A0EFAA" w14:textId="2A6A8407" w:rsidR="00972B3C" w:rsidRDefault="00972B3C" w:rsidP="009207ED">
            <w:pPr>
              <w:pStyle w:val="ListParagraph"/>
              <w:numPr>
                <w:ilvl w:val="0"/>
                <w:numId w:val="26"/>
              </w:numPr>
              <w:spacing w:before="120" w:after="120"/>
              <w:rPr>
                <w:sz w:val="18"/>
                <w:szCs w:val="18"/>
              </w:rPr>
            </w:pPr>
            <w:r>
              <w:rPr>
                <w:sz w:val="18"/>
                <w:szCs w:val="18"/>
              </w:rPr>
              <w:t xml:space="preserve">Patients were divided into two groups; group 1 was the </w:t>
            </w:r>
            <w:r w:rsidR="004001AB">
              <w:rPr>
                <w:sz w:val="18"/>
                <w:szCs w:val="18"/>
              </w:rPr>
              <w:t>experimental</w:t>
            </w:r>
            <w:r>
              <w:rPr>
                <w:sz w:val="18"/>
                <w:szCs w:val="18"/>
              </w:rPr>
              <w:t xml:space="preserve"> group who received a locally administered peri-</w:t>
            </w:r>
            <w:proofErr w:type="spellStart"/>
            <w:r>
              <w:rPr>
                <w:sz w:val="18"/>
                <w:szCs w:val="18"/>
              </w:rPr>
              <w:t>tendinous</w:t>
            </w:r>
            <w:proofErr w:type="spellEnd"/>
            <w:r>
              <w:rPr>
                <w:sz w:val="18"/>
                <w:szCs w:val="18"/>
              </w:rPr>
              <w:t xml:space="preserve"> injection of 40 mgs methyl prednisolone acetate (steroid) in 1 ml of Marcaine (local anaesthetic) 0.25% (N=19</w:t>
            </w:r>
            <w:r w:rsidR="009B3664">
              <w:rPr>
                <w:sz w:val="18"/>
                <w:szCs w:val="18"/>
              </w:rPr>
              <w:t xml:space="preserve"> tendons</w:t>
            </w:r>
            <w:r>
              <w:rPr>
                <w:sz w:val="18"/>
                <w:szCs w:val="18"/>
              </w:rPr>
              <w:t>)</w:t>
            </w:r>
            <w:r w:rsidR="00743AB7">
              <w:rPr>
                <w:sz w:val="18"/>
                <w:szCs w:val="18"/>
              </w:rPr>
              <w:t>,</w:t>
            </w:r>
            <w:r>
              <w:rPr>
                <w:sz w:val="18"/>
                <w:szCs w:val="18"/>
              </w:rPr>
              <w:t xml:space="preserve"> and group 2 was the control group who received just the local anaesthetic of 2 ml of 0.25% </w:t>
            </w:r>
            <w:proofErr w:type="spellStart"/>
            <w:r>
              <w:rPr>
                <w:sz w:val="18"/>
                <w:szCs w:val="18"/>
              </w:rPr>
              <w:t>marcaine</w:t>
            </w:r>
            <w:proofErr w:type="spellEnd"/>
            <w:r>
              <w:rPr>
                <w:sz w:val="18"/>
                <w:szCs w:val="18"/>
              </w:rPr>
              <w:t xml:space="preserve"> (N=15</w:t>
            </w:r>
            <w:r w:rsidR="009B3664">
              <w:rPr>
                <w:sz w:val="18"/>
                <w:szCs w:val="18"/>
              </w:rPr>
              <w:t xml:space="preserve"> tendons</w:t>
            </w:r>
            <w:r>
              <w:rPr>
                <w:sz w:val="18"/>
                <w:szCs w:val="18"/>
              </w:rPr>
              <w:t xml:space="preserve">). </w:t>
            </w:r>
            <w:r w:rsidR="004001AB">
              <w:rPr>
                <w:sz w:val="18"/>
                <w:szCs w:val="18"/>
              </w:rPr>
              <w:t xml:space="preserve">At 6 and 12 weeks there were 13 and 10 </w:t>
            </w:r>
            <w:r w:rsidR="009B3664">
              <w:rPr>
                <w:sz w:val="18"/>
                <w:szCs w:val="18"/>
              </w:rPr>
              <w:t>tendons studied</w:t>
            </w:r>
            <w:r w:rsidR="004001AB">
              <w:rPr>
                <w:sz w:val="18"/>
                <w:szCs w:val="18"/>
              </w:rPr>
              <w:t xml:space="preserve"> in the experimental and control groups, respectively. </w:t>
            </w:r>
          </w:p>
          <w:p w14:paraId="05C36B28" w14:textId="36F17A50" w:rsidR="001D4F60" w:rsidRDefault="00DD7C10" w:rsidP="009E380F">
            <w:pPr>
              <w:pStyle w:val="ListParagraph"/>
              <w:numPr>
                <w:ilvl w:val="0"/>
                <w:numId w:val="26"/>
              </w:numPr>
              <w:spacing w:before="120" w:after="120"/>
              <w:rPr>
                <w:sz w:val="18"/>
                <w:szCs w:val="18"/>
              </w:rPr>
            </w:pPr>
            <w:r>
              <w:rPr>
                <w:sz w:val="18"/>
                <w:szCs w:val="18"/>
              </w:rPr>
              <w:t>The study authors indicate that the two treatment groups were comparable at baseline regarding age, sex, pain, tenderness and activity levels</w:t>
            </w:r>
            <w:r w:rsidR="00743AB7">
              <w:rPr>
                <w:sz w:val="18"/>
                <w:szCs w:val="18"/>
              </w:rPr>
              <w:t xml:space="preserve">. However, the article did not provide information regarding the ages (and standard deviations) or gender for each group. </w:t>
            </w:r>
          </w:p>
          <w:p w14:paraId="4E50948E" w14:textId="045FE534" w:rsidR="007B0736" w:rsidRDefault="007B0736" w:rsidP="009E380F">
            <w:pPr>
              <w:pStyle w:val="ListParagraph"/>
              <w:numPr>
                <w:ilvl w:val="0"/>
                <w:numId w:val="26"/>
              </w:numPr>
              <w:spacing w:before="120" w:after="120"/>
              <w:rPr>
                <w:sz w:val="18"/>
                <w:szCs w:val="18"/>
              </w:rPr>
            </w:pPr>
            <w:r>
              <w:rPr>
                <w:sz w:val="18"/>
                <w:szCs w:val="18"/>
              </w:rPr>
              <w:t xml:space="preserve">Information regarding duration of Achilles </w:t>
            </w:r>
            <w:proofErr w:type="spellStart"/>
            <w:r>
              <w:rPr>
                <w:sz w:val="18"/>
                <w:szCs w:val="18"/>
              </w:rPr>
              <w:t>tendinopathy</w:t>
            </w:r>
            <w:proofErr w:type="spellEnd"/>
            <w:r>
              <w:rPr>
                <w:sz w:val="18"/>
                <w:szCs w:val="18"/>
              </w:rPr>
              <w:t xml:space="preserve"> was not provided. </w:t>
            </w:r>
          </w:p>
          <w:p w14:paraId="007F80DD" w14:textId="297F4653" w:rsidR="00ED14B4" w:rsidRPr="00743AB7" w:rsidRDefault="00ED14B4" w:rsidP="009E380F">
            <w:pPr>
              <w:pStyle w:val="ListParagraph"/>
              <w:numPr>
                <w:ilvl w:val="0"/>
                <w:numId w:val="26"/>
              </w:numPr>
              <w:spacing w:before="120" w:after="120"/>
              <w:rPr>
                <w:sz w:val="18"/>
                <w:szCs w:val="18"/>
              </w:rPr>
            </w:pPr>
            <w:r>
              <w:rPr>
                <w:sz w:val="18"/>
                <w:szCs w:val="18"/>
              </w:rPr>
              <w:t xml:space="preserve">A </w:t>
            </w:r>
            <w:proofErr w:type="spellStart"/>
            <w:r>
              <w:rPr>
                <w:sz w:val="18"/>
                <w:szCs w:val="18"/>
              </w:rPr>
              <w:t>nonprobabilistic</w:t>
            </w:r>
            <w:proofErr w:type="spellEnd"/>
            <w:r>
              <w:rPr>
                <w:sz w:val="18"/>
                <w:szCs w:val="18"/>
              </w:rPr>
              <w:t xml:space="preserve"> sampling method was used – purposive.</w:t>
            </w:r>
          </w:p>
          <w:p w14:paraId="34F29A60" w14:textId="77777777" w:rsidR="001D4F60" w:rsidRPr="002F16E1" w:rsidRDefault="001D4F60" w:rsidP="009E380F">
            <w:pPr>
              <w:spacing w:before="120" w:after="120"/>
              <w:jc w:val="right"/>
              <w:rPr>
                <w:sz w:val="18"/>
                <w:szCs w:val="18"/>
              </w:rPr>
            </w:pPr>
          </w:p>
        </w:tc>
      </w:tr>
      <w:tr w:rsidR="001D4F60" w:rsidRPr="002F16E1" w14:paraId="007DA876" w14:textId="77777777" w:rsidTr="009E380F">
        <w:tc>
          <w:tcPr>
            <w:tcW w:w="10421" w:type="dxa"/>
            <w:shd w:val="clear" w:color="auto" w:fill="E6E6E6"/>
          </w:tcPr>
          <w:p w14:paraId="191CC9FD" w14:textId="1F52EFED" w:rsidR="001D4F60" w:rsidRPr="00FB0D4B" w:rsidRDefault="001D4F60" w:rsidP="009E380F">
            <w:pPr>
              <w:spacing w:before="120" w:after="120"/>
              <w:rPr>
                <w:b/>
                <w:sz w:val="18"/>
                <w:szCs w:val="18"/>
              </w:rPr>
            </w:pPr>
            <w:r w:rsidRPr="002F16E1">
              <w:rPr>
                <w:b/>
                <w:sz w:val="18"/>
                <w:szCs w:val="18"/>
              </w:rPr>
              <w:t>Intervention Investigated</w:t>
            </w:r>
          </w:p>
        </w:tc>
      </w:tr>
      <w:tr w:rsidR="001D4F60" w:rsidRPr="002F16E1" w14:paraId="7480A4BF" w14:textId="77777777" w:rsidTr="009E380F">
        <w:tc>
          <w:tcPr>
            <w:tcW w:w="10421" w:type="dxa"/>
            <w:shd w:val="clear" w:color="auto" w:fill="auto"/>
          </w:tcPr>
          <w:p w14:paraId="6FB45729" w14:textId="3FE4F2E6" w:rsidR="001D4F60" w:rsidRPr="002F16E1" w:rsidRDefault="001D4F60" w:rsidP="009E380F">
            <w:pPr>
              <w:spacing w:before="120" w:after="120"/>
              <w:rPr>
                <w:i/>
                <w:sz w:val="18"/>
                <w:szCs w:val="18"/>
              </w:rPr>
            </w:pPr>
            <w:r w:rsidRPr="002F16E1">
              <w:rPr>
                <w:i/>
                <w:sz w:val="18"/>
                <w:szCs w:val="18"/>
              </w:rPr>
              <w:t>Control</w:t>
            </w:r>
            <w:r w:rsidR="0078749E">
              <w:rPr>
                <w:i/>
                <w:sz w:val="18"/>
                <w:szCs w:val="18"/>
              </w:rPr>
              <w:t xml:space="preserve"> – Local anaesthetic alone</w:t>
            </w:r>
          </w:p>
        </w:tc>
      </w:tr>
      <w:tr w:rsidR="001D4F60" w:rsidRPr="002F16E1" w14:paraId="55930D0D" w14:textId="77777777" w:rsidTr="009E380F">
        <w:tc>
          <w:tcPr>
            <w:tcW w:w="10421" w:type="dxa"/>
            <w:shd w:val="clear" w:color="auto" w:fill="auto"/>
          </w:tcPr>
          <w:p w14:paraId="063D2B80" w14:textId="12A85517" w:rsidR="001D4F60" w:rsidRDefault="000528B2" w:rsidP="0078749E">
            <w:pPr>
              <w:pStyle w:val="ListParagraph"/>
              <w:numPr>
                <w:ilvl w:val="0"/>
                <w:numId w:val="27"/>
              </w:numPr>
              <w:spacing w:before="120" w:after="120"/>
              <w:rPr>
                <w:sz w:val="18"/>
                <w:szCs w:val="18"/>
              </w:rPr>
            </w:pPr>
            <w:r>
              <w:rPr>
                <w:sz w:val="18"/>
                <w:szCs w:val="18"/>
              </w:rPr>
              <w:t>Patients r</w:t>
            </w:r>
            <w:r w:rsidR="00713F38">
              <w:rPr>
                <w:sz w:val="18"/>
                <w:szCs w:val="18"/>
              </w:rPr>
              <w:t>eceived a peri-</w:t>
            </w:r>
            <w:proofErr w:type="spellStart"/>
            <w:r w:rsidR="00713F38">
              <w:rPr>
                <w:sz w:val="18"/>
                <w:szCs w:val="18"/>
              </w:rPr>
              <w:t>tendinous</w:t>
            </w:r>
            <w:proofErr w:type="spellEnd"/>
            <w:r w:rsidR="00713F38">
              <w:rPr>
                <w:sz w:val="18"/>
                <w:szCs w:val="18"/>
              </w:rPr>
              <w:t xml:space="preserve"> injection of 2 ml of 0.25% </w:t>
            </w:r>
            <w:proofErr w:type="spellStart"/>
            <w:r w:rsidR="00713F38">
              <w:rPr>
                <w:sz w:val="18"/>
                <w:szCs w:val="18"/>
              </w:rPr>
              <w:t>marcaine</w:t>
            </w:r>
            <w:proofErr w:type="spellEnd"/>
            <w:r w:rsidR="00713F38">
              <w:rPr>
                <w:sz w:val="18"/>
                <w:szCs w:val="18"/>
              </w:rPr>
              <w:t xml:space="preserve"> alone. This served as the placebo</w:t>
            </w:r>
            <w:r w:rsidR="0087197A">
              <w:rPr>
                <w:sz w:val="18"/>
                <w:szCs w:val="18"/>
              </w:rPr>
              <w:t xml:space="preserve"> group. </w:t>
            </w:r>
          </w:p>
          <w:p w14:paraId="15319EE0" w14:textId="30D19E68" w:rsidR="0087197A" w:rsidRDefault="0087197A" w:rsidP="0078749E">
            <w:pPr>
              <w:pStyle w:val="ListParagraph"/>
              <w:numPr>
                <w:ilvl w:val="0"/>
                <w:numId w:val="27"/>
              </w:numPr>
              <w:spacing w:before="120" w:after="120"/>
              <w:rPr>
                <w:sz w:val="18"/>
                <w:szCs w:val="18"/>
              </w:rPr>
            </w:pPr>
            <w:r>
              <w:rPr>
                <w:sz w:val="18"/>
                <w:szCs w:val="18"/>
              </w:rPr>
              <w:t>The injection was provided by the lead author (</w:t>
            </w:r>
            <w:proofErr w:type="spellStart"/>
            <w:r>
              <w:rPr>
                <w:sz w:val="18"/>
                <w:szCs w:val="18"/>
              </w:rPr>
              <w:t>DaCruz</w:t>
            </w:r>
            <w:proofErr w:type="spellEnd"/>
            <w:r>
              <w:rPr>
                <w:sz w:val="18"/>
                <w:szCs w:val="18"/>
              </w:rPr>
              <w:t xml:space="preserve"> DJ), in which he was careful not to penetrate the actual Achilles tendon. The injection was administered on either side of the palpable tendon with the patients lying in prone. </w:t>
            </w:r>
          </w:p>
          <w:p w14:paraId="6936C9B0" w14:textId="10E1894F" w:rsidR="001D4F60" w:rsidRPr="000528B2" w:rsidRDefault="007B2091" w:rsidP="009E380F">
            <w:pPr>
              <w:pStyle w:val="ListParagraph"/>
              <w:numPr>
                <w:ilvl w:val="0"/>
                <w:numId w:val="27"/>
              </w:numPr>
              <w:spacing w:before="120" w:after="120"/>
              <w:rPr>
                <w:sz w:val="18"/>
                <w:szCs w:val="18"/>
              </w:rPr>
            </w:pPr>
            <w:r>
              <w:rPr>
                <w:sz w:val="18"/>
                <w:szCs w:val="18"/>
              </w:rPr>
              <w:t>Patients underwent a standardized regimen of physical therapy by a single physical therapist, the second author (</w:t>
            </w:r>
            <w:proofErr w:type="spellStart"/>
            <w:r>
              <w:rPr>
                <w:sz w:val="18"/>
                <w:szCs w:val="18"/>
              </w:rPr>
              <w:t>Geeson</w:t>
            </w:r>
            <w:proofErr w:type="spellEnd"/>
            <w:r>
              <w:rPr>
                <w:sz w:val="18"/>
                <w:szCs w:val="18"/>
              </w:rPr>
              <w:t xml:space="preserve"> M). Patients attended physical therapy two times per week for four weeks. Physical therapy included application of ice, followed by ultrasound at a dose of 0.5 watts per cm for five minutes. Patients were given an orthopaedic felt heel insert at their first physical therapy session. </w:t>
            </w:r>
            <w:r w:rsidR="000528B2">
              <w:rPr>
                <w:sz w:val="18"/>
                <w:szCs w:val="18"/>
              </w:rPr>
              <w:t xml:space="preserve">Patients were encouraged to function normally within the limits of their pain; there was no formal restriction on activity level. When physical therapy intervention involved running, the patients ran at half pace on a soft surface with shock absorbing shoes and a </w:t>
            </w:r>
            <w:proofErr w:type="spellStart"/>
            <w:r w:rsidR="000528B2">
              <w:rPr>
                <w:sz w:val="18"/>
                <w:szCs w:val="18"/>
              </w:rPr>
              <w:t>sorbithane</w:t>
            </w:r>
            <w:proofErr w:type="spellEnd"/>
            <w:r w:rsidR="000528B2">
              <w:rPr>
                <w:sz w:val="18"/>
                <w:szCs w:val="18"/>
              </w:rPr>
              <w:t xml:space="preserve"> insert. </w:t>
            </w:r>
          </w:p>
          <w:p w14:paraId="75E46211" w14:textId="77777777" w:rsidR="001D4F60" w:rsidRPr="002F16E1" w:rsidRDefault="001D4F60" w:rsidP="009E380F">
            <w:pPr>
              <w:spacing w:before="120" w:after="120"/>
              <w:rPr>
                <w:sz w:val="18"/>
                <w:szCs w:val="18"/>
              </w:rPr>
            </w:pPr>
          </w:p>
        </w:tc>
      </w:tr>
      <w:tr w:rsidR="001D4F60" w:rsidRPr="002F16E1" w14:paraId="181D5CDD" w14:textId="77777777" w:rsidTr="009E380F">
        <w:tc>
          <w:tcPr>
            <w:tcW w:w="10421" w:type="dxa"/>
            <w:shd w:val="clear" w:color="auto" w:fill="auto"/>
          </w:tcPr>
          <w:p w14:paraId="056894B3" w14:textId="7685C137" w:rsidR="001D4F60" w:rsidRPr="002F16E1" w:rsidRDefault="001D4F60" w:rsidP="009E380F">
            <w:pPr>
              <w:spacing w:before="120" w:after="120"/>
              <w:rPr>
                <w:i/>
                <w:sz w:val="18"/>
                <w:szCs w:val="18"/>
              </w:rPr>
            </w:pPr>
            <w:r w:rsidRPr="002F16E1">
              <w:rPr>
                <w:i/>
                <w:sz w:val="18"/>
                <w:szCs w:val="18"/>
              </w:rPr>
              <w:t>Experimental</w:t>
            </w:r>
            <w:r w:rsidR="0078749E">
              <w:rPr>
                <w:i/>
                <w:sz w:val="18"/>
                <w:szCs w:val="18"/>
              </w:rPr>
              <w:t xml:space="preserve"> – Steroid and local anaesthetic </w:t>
            </w:r>
          </w:p>
        </w:tc>
      </w:tr>
      <w:tr w:rsidR="001D4F60" w:rsidRPr="002F16E1" w14:paraId="1F1904B0" w14:textId="77777777" w:rsidTr="009E380F">
        <w:tc>
          <w:tcPr>
            <w:tcW w:w="10421" w:type="dxa"/>
            <w:tcBorders>
              <w:bottom w:val="single" w:sz="4" w:space="0" w:color="auto"/>
            </w:tcBorders>
            <w:shd w:val="clear" w:color="auto" w:fill="auto"/>
          </w:tcPr>
          <w:p w14:paraId="3CB604A7" w14:textId="2DDD618C" w:rsidR="000528B2" w:rsidRDefault="000528B2" w:rsidP="000528B2">
            <w:pPr>
              <w:pStyle w:val="ListParagraph"/>
              <w:numPr>
                <w:ilvl w:val="0"/>
                <w:numId w:val="28"/>
              </w:numPr>
              <w:spacing w:before="120" w:after="120"/>
              <w:rPr>
                <w:sz w:val="18"/>
                <w:szCs w:val="18"/>
              </w:rPr>
            </w:pPr>
            <w:r>
              <w:rPr>
                <w:sz w:val="18"/>
                <w:szCs w:val="18"/>
              </w:rPr>
              <w:t>Patients received a peri-</w:t>
            </w:r>
            <w:proofErr w:type="spellStart"/>
            <w:r>
              <w:rPr>
                <w:sz w:val="18"/>
                <w:szCs w:val="18"/>
              </w:rPr>
              <w:t>tendinous</w:t>
            </w:r>
            <w:proofErr w:type="spellEnd"/>
            <w:r>
              <w:rPr>
                <w:sz w:val="18"/>
                <w:szCs w:val="18"/>
              </w:rPr>
              <w:t xml:space="preserve"> injection of 40 mgs methyl prednisolone acetate (steroid) in 1 ml of Marcaine (local anaesthetic) 0.25%.</w:t>
            </w:r>
          </w:p>
          <w:p w14:paraId="2289F56C" w14:textId="05302315" w:rsidR="000528B2" w:rsidRDefault="000528B2" w:rsidP="000528B2">
            <w:pPr>
              <w:pStyle w:val="ListParagraph"/>
              <w:numPr>
                <w:ilvl w:val="0"/>
                <w:numId w:val="27"/>
              </w:numPr>
              <w:spacing w:before="120" w:after="120"/>
              <w:rPr>
                <w:sz w:val="18"/>
                <w:szCs w:val="18"/>
              </w:rPr>
            </w:pPr>
            <w:r>
              <w:rPr>
                <w:sz w:val="18"/>
                <w:szCs w:val="18"/>
              </w:rPr>
              <w:lastRenderedPageBreak/>
              <w:t>The injection was provided by the lead author (</w:t>
            </w:r>
            <w:proofErr w:type="spellStart"/>
            <w:r>
              <w:rPr>
                <w:sz w:val="18"/>
                <w:szCs w:val="18"/>
              </w:rPr>
              <w:t>DaCruz</w:t>
            </w:r>
            <w:proofErr w:type="spellEnd"/>
            <w:r>
              <w:rPr>
                <w:sz w:val="18"/>
                <w:szCs w:val="18"/>
              </w:rPr>
              <w:t xml:space="preserve"> DJ), in which he was careful not to penetrate the actual Achilles tendon. The injection was administered on either side of the palpable tendon with the patients lying in prone. </w:t>
            </w:r>
          </w:p>
          <w:p w14:paraId="19C6266C" w14:textId="79294FDC" w:rsidR="001D4F60" w:rsidRPr="000528B2" w:rsidRDefault="000528B2" w:rsidP="009E380F">
            <w:pPr>
              <w:pStyle w:val="ListParagraph"/>
              <w:numPr>
                <w:ilvl w:val="0"/>
                <w:numId w:val="28"/>
              </w:numPr>
              <w:spacing w:before="120" w:after="120"/>
              <w:rPr>
                <w:sz w:val="18"/>
                <w:szCs w:val="18"/>
              </w:rPr>
            </w:pPr>
            <w:r>
              <w:rPr>
                <w:sz w:val="18"/>
                <w:szCs w:val="18"/>
              </w:rPr>
              <w:t>All patients underwent the same physical therapy interventions as the control group, as described above. The second author also served as the single physical therapist in this group.</w:t>
            </w:r>
          </w:p>
          <w:p w14:paraId="61BCB282" w14:textId="77777777" w:rsidR="001D4F60" w:rsidRPr="002F16E1" w:rsidRDefault="001D4F60" w:rsidP="009E380F">
            <w:pPr>
              <w:spacing w:before="120" w:after="120"/>
              <w:jc w:val="right"/>
              <w:rPr>
                <w:sz w:val="18"/>
                <w:szCs w:val="18"/>
              </w:rPr>
            </w:pPr>
          </w:p>
        </w:tc>
      </w:tr>
      <w:tr w:rsidR="001D4F60" w:rsidRPr="002F16E1" w14:paraId="774DFE23" w14:textId="77777777" w:rsidTr="009E380F">
        <w:tc>
          <w:tcPr>
            <w:tcW w:w="10421" w:type="dxa"/>
            <w:shd w:val="clear" w:color="auto" w:fill="E6E6E6"/>
          </w:tcPr>
          <w:p w14:paraId="26146406" w14:textId="49754326"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tc>
      </w:tr>
      <w:tr w:rsidR="001D4F60" w:rsidRPr="002F16E1" w14:paraId="4EE68E5F" w14:textId="77777777" w:rsidTr="009E380F">
        <w:tc>
          <w:tcPr>
            <w:tcW w:w="10421" w:type="dxa"/>
            <w:tcBorders>
              <w:bottom w:val="single" w:sz="4" w:space="0" w:color="auto"/>
            </w:tcBorders>
            <w:shd w:val="clear" w:color="auto" w:fill="auto"/>
          </w:tcPr>
          <w:p w14:paraId="061B7B41" w14:textId="31DB004A" w:rsidR="001D4F60" w:rsidRDefault="003077A4" w:rsidP="009E380F">
            <w:pPr>
              <w:spacing w:before="120" w:after="120"/>
              <w:rPr>
                <w:sz w:val="18"/>
                <w:szCs w:val="18"/>
              </w:rPr>
            </w:pPr>
            <w:r>
              <w:rPr>
                <w:sz w:val="18"/>
                <w:szCs w:val="18"/>
              </w:rPr>
              <w:t>All outcome measure</w:t>
            </w:r>
            <w:r w:rsidR="00251143">
              <w:rPr>
                <w:sz w:val="18"/>
                <w:szCs w:val="18"/>
              </w:rPr>
              <w:t>s were performed at baseline</w:t>
            </w:r>
            <w:r w:rsidR="004664A1">
              <w:rPr>
                <w:sz w:val="18"/>
                <w:szCs w:val="18"/>
              </w:rPr>
              <w:t xml:space="preserve">, 3 weeks, </w:t>
            </w:r>
            <w:r>
              <w:rPr>
                <w:sz w:val="18"/>
                <w:szCs w:val="18"/>
              </w:rPr>
              <w:t>6 weeks, and at 6-week interval</w:t>
            </w:r>
            <w:r w:rsidR="00630D14">
              <w:rPr>
                <w:sz w:val="18"/>
                <w:szCs w:val="18"/>
              </w:rPr>
              <w:t>s</w:t>
            </w:r>
            <w:r>
              <w:rPr>
                <w:sz w:val="18"/>
                <w:szCs w:val="18"/>
              </w:rPr>
              <w:t xml:space="preserve"> thereafter. </w:t>
            </w:r>
            <w:r w:rsidR="00251143">
              <w:rPr>
                <w:sz w:val="18"/>
                <w:szCs w:val="18"/>
              </w:rPr>
              <w:t xml:space="preserve">Outcome scores were only provided for baseline, 6 weeks and 12 weeks. </w:t>
            </w:r>
            <w:r w:rsidR="004664A1">
              <w:rPr>
                <w:sz w:val="18"/>
                <w:szCs w:val="18"/>
              </w:rPr>
              <w:t xml:space="preserve">Follow-up measures were conducted on a double-blind basis; however, the study authors did not mention who performed the follow-up assessments. </w:t>
            </w:r>
            <w:r w:rsidR="00A76204">
              <w:rPr>
                <w:sz w:val="18"/>
                <w:szCs w:val="18"/>
              </w:rPr>
              <w:t>This study considered patients to be fully recovered when they were back to normal activity, had no pain, and demonstrated no tenderness.</w:t>
            </w:r>
            <w:r w:rsidR="003524D8">
              <w:rPr>
                <w:sz w:val="18"/>
                <w:szCs w:val="18"/>
              </w:rPr>
              <w:t xml:space="preserve"> It should be noted that </w:t>
            </w:r>
            <w:r w:rsidR="00E8493A">
              <w:rPr>
                <w:sz w:val="18"/>
                <w:szCs w:val="18"/>
              </w:rPr>
              <w:t>the study authors did not address reliability and validity of all outcome measures used</w:t>
            </w:r>
            <w:r w:rsidR="003524D8">
              <w:rPr>
                <w:sz w:val="18"/>
                <w:szCs w:val="18"/>
              </w:rPr>
              <w:t xml:space="preserve">. </w:t>
            </w:r>
          </w:p>
          <w:p w14:paraId="7AAD7DDA" w14:textId="6F341655" w:rsidR="00251143" w:rsidRDefault="00251143" w:rsidP="00251143">
            <w:pPr>
              <w:pStyle w:val="ListParagraph"/>
              <w:numPr>
                <w:ilvl w:val="0"/>
                <w:numId w:val="28"/>
              </w:numPr>
              <w:spacing w:before="120" w:after="120"/>
              <w:rPr>
                <w:sz w:val="18"/>
                <w:szCs w:val="18"/>
              </w:rPr>
            </w:pPr>
            <w:r>
              <w:rPr>
                <w:b/>
                <w:sz w:val="18"/>
                <w:szCs w:val="18"/>
              </w:rPr>
              <w:t xml:space="preserve">Pain: </w:t>
            </w:r>
            <w:r w:rsidR="004664A1">
              <w:rPr>
                <w:sz w:val="18"/>
                <w:szCs w:val="18"/>
              </w:rPr>
              <w:t xml:space="preserve">(0-100); Patients graded pain by marking a section on a 10 cm linear analogue scale when asked “How bad is your pain when it is at its worse?” Patients were uninformed of previous pain scores </w:t>
            </w:r>
            <w:r w:rsidR="00A76204">
              <w:rPr>
                <w:sz w:val="18"/>
                <w:szCs w:val="18"/>
              </w:rPr>
              <w:t xml:space="preserve">at each follow-up. The lower the score on this scale indicates less pain (i.e. a 0 indicates no pain).  </w:t>
            </w:r>
          </w:p>
          <w:p w14:paraId="692AC0DB" w14:textId="0882DF1E" w:rsidR="000E2694" w:rsidRDefault="00E8493A" w:rsidP="00251143">
            <w:pPr>
              <w:pStyle w:val="ListParagraph"/>
              <w:numPr>
                <w:ilvl w:val="0"/>
                <w:numId w:val="28"/>
              </w:numPr>
              <w:spacing w:before="120" w:after="120"/>
              <w:rPr>
                <w:sz w:val="18"/>
                <w:szCs w:val="18"/>
              </w:rPr>
            </w:pPr>
            <w:r>
              <w:rPr>
                <w:b/>
                <w:sz w:val="18"/>
                <w:szCs w:val="18"/>
              </w:rPr>
              <w:t xml:space="preserve">Swelling: </w:t>
            </w:r>
            <w:r>
              <w:rPr>
                <w:sz w:val="18"/>
                <w:szCs w:val="18"/>
              </w:rPr>
              <w:t xml:space="preserve">Was assessed by the lead author at baseline by measuring the thinnest diameter of the tendon with callipers. The symptomatic side was compared with the asymptomatic side if symptoms were unilateral. </w:t>
            </w:r>
          </w:p>
          <w:p w14:paraId="60AE80C0" w14:textId="7595E157" w:rsidR="00E8493A" w:rsidRDefault="00E8493A" w:rsidP="00251143">
            <w:pPr>
              <w:pStyle w:val="ListParagraph"/>
              <w:numPr>
                <w:ilvl w:val="0"/>
                <w:numId w:val="28"/>
              </w:numPr>
              <w:spacing w:before="120" w:after="120"/>
              <w:rPr>
                <w:sz w:val="18"/>
                <w:szCs w:val="18"/>
              </w:rPr>
            </w:pPr>
            <w:r>
              <w:rPr>
                <w:b/>
                <w:sz w:val="18"/>
                <w:szCs w:val="18"/>
              </w:rPr>
              <w:t>Activity</w:t>
            </w:r>
            <w:r w:rsidR="009649DF">
              <w:rPr>
                <w:b/>
                <w:sz w:val="18"/>
                <w:szCs w:val="18"/>
              </w:rPr>
              <w:t xml:space="preserve">: </w:t>
            </w:r>
            <w:r w:rsidR="009649DF" w:rsidRPr="009649DF">
              <w:rPr>
                <w:sz w:val="18"/>
                <w:szCs w:val="18"/>
              </w:rPr>
              <w:t>(25%, 50%, 75%)</w:t>
            </w:r>
            <w:proofErr w:type="gramStart"/>
            <w:r w:rsidR="009649DF">
              <w:rPr>
                <w:sz w:val="18"/>
                <w:szCs w:val="18"/>
              </w:rPr>
              <w:t>;</w:t>
            </w:r>
            <w:proofErr w:type="gramEnd"/>
            <w:r w:rsidRPr="009649DF">
              <w:rPr>
                <w:sz w:val="18"/>
                <w:szCs w:val="18"/>
              </w:rPr>
              <w:t xml:space="preserve"> </w:t>
            </w:r>
            <w:r>
              <w:rPr>
                <w:sz w:val="18"/>
                <w:szCs w:val="18"/>
              </w:rPr>
              <w:t xml:space="preserve">A self-report measure that was measured using an “activity level score”. Patients ranked their current level of activity as 25%, 50% or 75% of normal including training. </w:t>
            </w:r>
          </w:p>
          <w:p w14:paraId="1FB640FE" w14:textId="78AA3DC4" w:rsidR="00E8493A" w:rsidRDefault="00E8493A" w:rsidP="00251143">
            <w:pPr>
              <w:pStyle w:val="ListParagraph"/>
              <w:numPr>
                <w:ilvl w:val="0"/>
                <w:numId w:val="28"/>
              </w:numPr>
              <w:spacing w:before="120" w:after="120"/>
              <w:rPr>
                <w:sz w:val="18"/>
                <w:szCs w:val="18"/>
              </w:rPr>
            </w:pPr>
            <w:r>
              <w:rPr>
                <w:b/>
                <w:sz w:val="18"/>
                <w:szCs w:val="18"/>
              </w:rPr>
              <w:t>Tenderness:</w:t>
            </w:r>
            <w:r w:rsidR="009649DF">
              <w:rPr>
                <w:b/>
                <w:sz w:val="18"/>
                <w:szCs w:val="18"/>
              </w:rPr>
              <w:t xml:space="preserve"> </w:t>
            </w:r>
            <w:r w:rsidR="009649DF">
              <w:rPr>
                <w:sz w:val="18"/>
                <w:szCs w:val="18"/>
              </w:rPr>
              <w:t>(grade 1-3);</w:t>
            </w:r>
            <w:r>
              <w:rPr>
                <w:sz w:val="18"/>
                <w:szCs w:val="18"/>
              </w:rPr>
              <w:t xml:space="preserve"> </w:t>
            </w:r>
            <w:r w:rsidR="00964016">
              <w:rPr>
                <w:sz w:val="18"/>
                <w:szCs w:val="18"/>
              </w:rPr>
              <w:t xml:space="preserve">Measured based on the patient’s response to </w:t>
            </w:r>
            <w:r w:rsidR="009649DF">
              <w:rPr>
                <w:sz w:val="18"/>
                <w:szCs w:val="18"/>
              </w:rPr>
              <w:t xml:space="preserve">gentle </w:t>
            </w:r>
            <w:r w:rsidR="00964016">
              <w:rPr>
                <w:sz w:val="18"/>
                <w:szCs w:val="18"/>
              </w:rPr>
              <w:t xml:space="preserve">pinching </w:t>
            </w:r>
            <w:r w:rsidR="009649DF">
              <w:rPr>
                <w:sz w:val="18"/>
                <w:szCs w:val="18"/>
              </w:rPr>
              <w:t>between the assessor’s pollex and finger. A grade 1 was classified as the patient neither wincing nor withdrawing when pressure was applied. A grade 2 was clas</w:t>
            </w:r>
            <w:r w:rsidR="00C03469">
              <w:rPr>
                <w:sz w:val="18"/>
                <w:szCs w:val="18"/>
              </w:rPr>
              <w:t xml:space="preserve">sified as the patient wincing but demonstrated no withdrawal. A grade 3 was classified as the patient both wincing and withdrawing when pressure was applied. </w:t>
            </w:r>
          </w:p>
          <w:p w14:paraId="3957D5D1" w14:textId="1F9026F9" w:rsidR="001D4F60" w:rsidRPr="00A634FF" w:rsidRDefault="00C03469" w:rsidP="009E380F">
            <w:pPr>
              <w:pStyle w:val="ListParagraph"/>
              <w:numPr>
                <w:ilvl w:val="0"/>
                <w:numId w:val="28"/>
              </w:numPr>
              <w:spacing w:before="120" w:after="120"/>
              <w:rPr>
                <w:sz w:val="18"/>
                <w:szCs w:val="18"/>
              </w:rPr>
            </w:pPr>
            <w:r>
              <w:rPr>
                <w:b/>
                <w:sz w:val="18"/>
                <w:szCs w:val="18"/>
              </w:rPr>
              <w:t>Ankle flexion:</w:t>
            </w:r>
            <w:r>
              <w:rPr>
                <w:sz w:val="18"/>
                <w:szCs w:val="18"/>
              </w:rPr>
              <w:t xml:space="preserve"> Measured using a goniometer. </w:t>
            </w:r>
          </w:p>
          <w:p w14:paraId="79B2795B" w14:textId="77777777" w:rsidR="001D4F60" w:rsidRPr="002F16E1" w:rsidRDefault="001D4F60" w:rsidP="009E380F">
            <w:pPr>
              <w:spacing w:before="120" w:after="120"/>
              <w:jc w:val="right"/>
              <w:rPr>
                <w:sz w:val="18"/>
                <w:szCs w:val="18"/>
              </w:rPr>
            </w:pPr>
          </w:p>
        </w:tc>
      </w:tr>
      <w:tr w:rsidR="001D4F60" w:rsidRPr="002F16E1" w14:paraId="65C89C2F" w14:textId="77777777" w:rsidTr="009E380F">
        <w:tc>
          <w:tcPr>
            <w:tcW w:w="10421" w:type="dxa"/>
            <w:tcBorders>
              <w:bottom w:val="single" w:sz="4" w:space="0" w:color="auto"/>
            </w:tcBorders>
            <w:shd w:val="clear" w:color="auto" w:fill="E6E6E6"/>
          </w:tcPr>
          <w:p w14:paraId="13FCD6C9" w14:textId="6EB63DFB" w:rsidR="001D4F60" w:rsidRPr="00FB0D4B" w:rsidRDefault="001D4F60" w:rsidP="009E380F">
            <w:pPr>
              <w:spacing w:before="120" w:after="120"/>
              <w:rPr>
                <w:b/>
                <w:sz w:val="18"/>
                <w:szCs w:val="18"/>
              </w:rPr>
            </w:pPr>
            <w:r w:rsidRPr="002F16E1">
              <w:rPr>
                <w:b/>
                <w:sz w:val="18"/>
                <w:szCs w:val="18"/>
              </w:rPr>
              <w:t>Main Findings</w:t>
            </w:r>
          </w:p>
        </w:tc>
      </w:tr>
      <w:tr w:rsidR="001D4F60" w:rsidRPr="002F16E1" w14:paraId="20DEB4A1" w14:textId="77777777" w:rsidTr="009E380F">
        <w:tc>
          <w:tcPr>
            <w:tcW w:w="10421" w:type="dxa"/>
            <w:tcBorders>
              <w:bottom w:val="single" w:sz="4" w:space="0" w:color="auto"/>
            </w:tcBorders>
            <w:shd w:val="clear" w:color="auto" w:fill="auto"/>
          </w:tcPr>
          <w:p w14:paraId="5C1C95A2" w14:textId="441471DA" w:rsidR="001D4F60" w:rsidRDefault="00777DFE" w:rsidP="009E380F">
            <w:pPr>
              <w:spacing w:before="120" w:after="120"/>
              <w:rPr>
                <w:sz w:val="18"/>
                <w:szCs w:val="18"/>
              </w:rPr>
            </w:pPr>
            <w:r>
              <w:rPr>
                <w:sz w:val="18"/>
                <w:szCs w:val="18"/>
              </w:rPr>
              <w:t>The s</w:t>
            </w:r>
            <w:r w:rsidR="000E2694">
              <w:rPr>
                <w:sz w:val="18"/>
                <w:szCs w:val="18"/>
              </w:rPr>
              <w:t xml:space="preserve">tudy authors </w:t>
            </w:r>
            <w:r w:rsidR="002B4C96">
              <w:rPr>
                <w:sz w:val="18"/>
                <w:szCs w:val="18"/>
              </w:rPr>
              <w:t xml:space="preserve">did not perform an a priori power analysis on any outcome. Furthermore, they </w:t>
            </w:r>
            <w:r w:rsidR="000E2694">
              <w:rPr>
                <w:sz w:val="18"/>
                <w:szCs w:val="18"/>
              </w:rPr>
              <w:t xml:space="preserve">did not report </w:t>
            </w:r>
            <w:r w:rsidR="00A06E3A">
              <w:rPr>
                <w:sz w:val="18"/>
                <w:szCs w:val="18"/>
              </w:rPr>
              <w:t>standard deviations or P values.</w:t>
            </w:r>
            <w:r w:rsidR="002B4C96">
              <w:rPr>
                <w:sz w:val="18"/>
                <w:szCs w:val="18"/>
              </w:rPr>
              <w:t xml:space="preserve"> Therefore effect sizes cannot be estimated to show clinical significance, and the lack of P values hinders the ability to know statistical significance. All outcomes were neither clinically nor statistically</w:t>
            </w:r>
            <w:r w:rsidR="000E2694">
              <w:rPr>
                <w:sz w:val="18"/>
                <w:szCs w:val="18"/>
              </w:rPr>
              <w:t xml:space="preserve"> significant. </w:t>
            </w:r>
          </w:p>
          <w:p w14:paraId="38843EA7" w14:textId="76AA3C37" w:rsidR="00A634FF" w:rsidRPr="00A634FF" w:rsidRDefault="00A634FF" w:rsidP="00A634FF">
            <w:pPr>
              <w:pStyle w:val="ListParagraph"/>
              <w:numPr>
                <w:ilvl w:val="0"/>
                <w:numId w:val="30"/>
              </w:numPr>
              <w:spacing w:before="120" w:after="120"/>
              <w:rPr>
                <w:sz w:val="18"/>
                <w:szCs w:val="18"/>
              </w:rPr>
            </w:pPr>
            <w:r>
              <w:rPr>
                <w:b/>
                <w:sz w:val="18"/>
                <w:szCs w:val="18"/>
              </w:rPr>
              <w:t>Pain:</w:t>
            </w:r>
            <w:r w:rsidR="00777DFE">
              <w:rPr>
                <w:b/>
                <w:sz w:val="18"/>
                <w:szCs w:val="18"/>
              </w:rPr>
              <w:t xml:space="preserve"> </w:t>
            </w:r>
            <w:r w:rsidR="0029560F">
              <w:rPr>
                <w:sz w:val="18"/>
                <w:szCs w:val="18"/>
              </w:rPr>
              <w:t xml:space="preserve">At presentation the average pain score was 41 in the experimental group and </w:t>
            </w:r>
            <w:r w:rsidR="004001AB">
              <w:rPr>
                <w:sz w:val="18"/>
                <w:szCs w:val="18"/>
              </w:rPr>
              <w:t xml:space="preserve">39 in the control group (a difference of 2 favouring the control group). At the 6-week follow-up the average pain score was 35 in the experimental group and 31 in the control group (a difference of 4 </w:t>
            </w:r>
            <w:proofErr w:type="spellStart"/>
            <w:r w:rsidR="004001AB">
              <w:rPr>
                <w:sz w:val="18"/>
                <w:szCs w:val="18"/>
              </w:rPr>
              <w:t>favoring</w:t>
            </w:r>
            <w:proofErr w:type="spellEnd"/>
            <w:r w:rsidR="004001AB">
              <w:rPr>
                <w:sz w:val="18"/>
                <w:szCs w:val="18"/>
              </w:rPr>
              <w:t xml:space="preserve"> the control group. At the 12-week follow-up the average pain score was 30 in the experimental group and 28 in the control group (a difference of 2 </w:t>
            </w:r>
            <w:proofErr w:type="spellStart"/>
            <w:r w:rsidR="004001AB">
              <w:rPr>
                <w:sz w:val="18"/>
                <w:szCs w:val="18"/>
              </w:rPr>
              <w:t>favoring</w:t>
            </w:r>
            <w:proofErr w:type="spellEnd"/>
            <w:r w:rsidR="004001AB">
              <w:rPr>
                <w:sz w:val="18"/>
                <w:szCs w:val="18"/>
              </w:rPr>
              <w:t xml:space="preserve"> the control group). </w:t>
            </w:r>
          </w:p>
          <w:p w14:paraId="65E1DCF0" w14:textId="6E8CB164" w:rsidR="00E8493A" w:rsidRDefault="00E8493A" w:rsidP="00E8493A">
            <w:pPr>
              <w:pStyle w:val="ListParagraph"/>
              <w:numPr>
                <w:ilvl w:val="0"/>
                <w:numId w:val="29"/>
              </w:numPr>
              <w:spacing w:before="120" w:after="120"/>
              <w:rPr>
                <w:sz w:val="18"/>
                <w:szCs w:val="18"/>
              </w:rPr>
            </w:pPr>
            <w:r>
              <w:rPr>
                <w:b/>
                <w:sz w:val="18"/>
                <w:szCs w:val="18"/>
              </w:rPr>
              <w:t xml:space="preserve">Swelling: </w:t>
            </w:r>
            <w:r>
              <w:rPr>
                <w:sz w:val="18"/>
                <w:szCs w:val="18"/>
              </w:rPr>
              <w:t xml:space="preserve">No patients demonstrated any swelling at baseline; therefore this measure was not assessed throughout the study. </w:t>
            </w:r>
          </w:p>
          <w:p w14:paraId="0361A549" w14:textId="7C15CBDB" w:rsidR="00A634FF" w:rsidRDefault="00A634FF" w:rsidP="00E8493A">
            <w:pPr>
              <w:pStyle w:val="ListParagraph"/>
              <w:numPr>
                <w:ilvl w:val="0"/>
                <w:numId w:val="29"/>
              </w:numPr>
              <w:spacing w:before="120" w:after="120"/>
              <w:rPr>
                <w:sz w:val="18"/>
                <w:szCs w:val="18"/>
              </w:rPr>
            </w:pPr>
            <w:r>
              <w:rPr>
                <w:b/>
                <w:sz w:val="18"/>
                <w:szCs w:val="18"/>
              </w:rPr>
              <w:t>Activity:</w:t>
            </w:r>
            <w:r>
              <w:rPr>
                <w:sz w:val="18"/>
                <w:szCs w:val="18"/>
              </w:rPr>
              <w:t xml:space="preserve"> </w:t>
            </w:r>
            <w:r w:rsidR="009C4DC0">
              <w:rPr>
                <w:sz w:val="18"/>
                <w:szCs w:val="18"/>
              </w:rPr>
              <w:t>At presentation, 8 patient</w:t>
            </w:r>
            <w:r w:rsidR="00241978">
              <w:rPr>
                <w:sz w:val="18"/>
                <w:szCs w:val="18"/>
              </w:rPr>
              <w:t>s in the</w:t>
            </w:r>
            <w:r w:rsidR="009C4DC0">
              <w:rPr>
                <w:sz w:val="18"/>
                <w:szCs w:val="18"/>
              </w:rPr>
              <w:t xml:space="preserve"> experimental group and 6</w:t>
            </w:r>
            <w:r w:rsidR="00241978">
              <w:rPr>
                <w:sz w:val="18"/>
                <w:szCs w:val="18"/>
              </w:rPr>
              <w:t xml:space="preserve"> in the control group reported their activity level</w:t>
            </w:r>
            <w:r w:rsidR="003253F9">
              <w:rPr>
                <w:sz w:val="18"/>
                <w:szCs w:val="18"/>
              </w:rPr>
              <w:t xml:space="preserve"> to be 25% of normal (difference of 2); 11 tendon</w:t>
            </w:r>
            <w:r w:rsidR="00241978">
              <w:rPr>
                <w:sz w:val="18"/>
                <w:szCs w:val="18"/>
              </w:rPr>
              <w:t>s in the experimental and 9 in the control reported a</w:t>
            </w:r>
            <w:r w:rsidR="003253F9">
              <w:rPr>
                <w:sz w:val="18"/>
                <w:szCs w:val="18"/>
              </w:rPr>
              <w:t>ctivity level at 50% (difference of 2); 0 tendons</w:t>
            </w:r>
            <w:r w:rsidR="00241978">
              <w:rPr>
                <w:sz w:val="18"/>
                <w:szCs w:val="18"/>
              </w:rPr>
              <w:t xml:space="preserve"> in both groups reported activity lev</w:t>
            </w:r>
            <w:r w:rsidR="003253F9">
              <w:rPr>
                <w:sz w:val="18"/>
                <w:szCs w:val="18"/>
              </w:rPr>
              <w:t>el at 75%. At 6 weeks, 3 tendon</w:t>
            </w:r>
            <w:r w:rsidR="00241978">
              <w:rPr>
                <w:sz w:val="18"/>
                <w:szCs w:val="18"/>
              </w:rPr>
              <w:t>s reported activity levels at 25% in both groups; 6 in the experimental and 4 in the control reported their activity level at 50%</w:t>
            </w:r>
            <w:r w:rsidR="003253F9">
              <w:rPr>
                <w:sz w:val="18"/>
                <w:szCs w:val="18"/>
              </w:rPr>
              <w:t xml:space="preserve"> (difference of 2)</w:t>
            </w:r>
            <w:r w:rsidR="00241978">
              <w:rPr>
                <w:sz w:val="18"/>
                <w:szCs w:val="18"/>
              </w:rPr>
              <w:t>; 4 in the experimental and 3 in the control reported their activity level at 75%</w:t>
            </w:r>
            <w:r w:rsidR="003253F9">
              <w:rPr>
                <w:sz w:val="18"/>
                <w:szCs w:val="18"/>
              </w:rPr>
              <w:t xml:space="preserve"> (difference of 1)</w:t>
            </w:r>
            <w:r w:rsidR="00241978">
              <w:rPr>
                <w:sz w:val="18"/>
                <w:szCs w:val="18"/>
              </w:rPr>
              <w:t>.</w:t>
            </w:r>
            <w:r w:rsidR="003253F9">
              <w:rPr>
                <w:sz w:val="18"/>
                <w:szCs w:val="18"/>
              </w:rPr>
              <w:t xml:space="preserve"> </w:t>
            </w:r>
            <w:r w:rsidR="00257E09">
              <w:rPr>
                <w:sz w:val="18"/>
                <w:szCs w:val="18"/>
              </w:rPr>
              <w:t>At 12 weeks, 3 tendons in each group reported activity level at 25%; 6 in the experimental and 4 in the control reported their activity level at 50% (difference of 2); 4 in the experimental and 3 in the control reported activity level at 75% (difference of 1).</w:t>
            </w:r>
          </w:p>
          <w:p w14:paraId="7E3A4B11" w14:textId="66297ADF" w:rsidR="00A634FF" w:rsidRDefault="00A634FF" w:rsidP="00E8493A">
            <w:pPr>
              <w:pStyle w:val="ListParagraph"/>
              <w:numPr>
                <w:ilvl w:val="0"/>
                <w:numId w:val="29"/>
              </w:numPr>
              <w:spacing w:before="120" w:after="120"/>
              <w:rPr>
                <w:sz w:val="18"/>
                <w:szCs w:val="18"/>
              </w:rPr>
            </w:pPr>
            <w:r>
              <w:rPr>
                <w:b/>
                <w:sz w:val="18"/>
                <w:szCs w:val="18"/>
              </w:rPr>
              <w:t xml:space="preserve">Tenderness: </w:t>
            </w:r>
            <w:r w:rsidR="004E285B">
              <w:rPr>
                <w:sz w:val="18"/>
                <w:szCs w:val="18"/>
              </w:rPr>
              <w:t>At presentation, 12 tendons in the experimental group reported tenderness as a grade 1 compared to 9 in the control group (difference of 3), 5 in the experimental reported grade 2 compared to 2 in the control (difference of 3), 2 in the experimental reported grade 3 compared to 4 in the control (difference of 2); at 6 weeks, 6 tendons in the experimental were at a grade 1 compared to 5 i</w:t>
            </w:r>
            <w:r w:rsidR="00B62F3C">
              <w:rPr>
                <w:sz w:val="18"/>
                <w:szCs w:val="18"/>
              </w:rPr>
              <w:t>n the control (difference of 1),</w:t>
            </w:r>
            <w:r w:rsidR="004E285B">
              <w:rPr>
                <w:sz w:val="18"/>
                <w:szCs w:val="18"/>
              </w:rPr>
              <w:t xml:space="preserve"> 5 reported a grade 2 in the experimental compared to 2 in the control (difference of 3), both groups reported </w:t>
            </w:r>
            <w:r w:rsidR="00B62F3C">
              <w:rPr>
                <w:sz w:val="18"/>
                <w:szCs w:val="18"/>
              </w:rPr>
              <w:t xml:space="preserve"> 2 tendons at a grade 3;</w:t>
            </w:r>
            <w:r w:rsidR="007A7038">
              <w:rPr>
                <w:sz w:val="18"/>
                <w:szCs w:val="18"/>
              </w:rPr>
              <w:t xml:space="preserve"> </w:t>
            </w:r>
            <w:r w:rsidR="00B62F3C">
              <w:rPr>
                <w:sz w:val="18"/>
                <w:szCs w:val="18"/>
              </w:rPr>
              <w:t>at 12 weeks, 6 in the experimental and 4 in the control reported a grade 1 (difference of 2); 6 in the experimental and 3 in the control reported a grade 2 (difference of 3), 1 in the experimental and 3 in the control reported a grade 3 (difference of 2).</w:t>
            </w:r>
          </w:p>
          <w:p w14:paraId="58706CBE" w14:textId="48FE2C34" w:rsidR="001D4F60" w:rsidRPr="00C5671D" w:rsidRDefault="00964016" w:rsidP="009E380F">
            <w:pPr>
              <w:pStyle w:val="ListParagraph"/>
              <w:numPr>
                <w:ilvl w:val="0"/>
                <w:numId w:val="29"/>
              </w:numPr>
              <w:spacing w:before="120" w:after="120"/>
              <w:rPr>
                <w:sz w:val="18"/>
                <w:szCs w:val="18"/>
              </w:rPr>
            </w:pPr>
            <w:r>
              <w:rPr>
                <w:b/>
                <w:sz w:val="18"/>
                <w:szCs w:val="18"/>
              </w:rPr>
              <w:t>Ankle flexion:</w:t>
            </w:r>
            <w:r>
              <w:rPr>
                <w:sz w:val="18"/>
                <w:szCs w:val="18"/>
              </w:rPr>
              <w:t xml:space="preserve"> No patients demonstrated any limitation in ankle joint movement; therefore this measure was not assessed throughout the study. </w:t>
            </w:r>
          </w:p>
          <w:p w14:paraId="6C0898E7" w14:textId="77777777" w:rsidR="001D4F60" w:rsidRPr="002F16E1" w:rsidRDefault="001D4F60" w:rsidP="009E380F">
            <w:pPr>
              <w:spacing w:before="120" w:after="120"/>
              <w:jc w:val="right"/>
              <w:rPr>
                <w:sz w:val="18"/>
                <w:szCs w:val="18"/>
              </w:rPr>
            </w:pPr>
          </w:p>
        </w:tc>
      </w:tr>
      <w:tr w:rsidR="001D4F60" w:rsidRPr="002F16E1" w14:paraId="3F1C9792" w14:textId="77777777" w:rsidTr="009E380F">
        <w:tc>
          <w:tcPr>
            <w:tcW w:w="10421" w:type="dxa"/>
            <w:shd w:val="clear" w:color="auto" w:fill="E6E6E6"/>
          </w:tcPr>
          <w:p w14:paraId="780DA916" w14:textId="41B6503E" w:rsidR="001D4F60" w:rsidRPr="009C4DC0"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428FEA4E" w14:textId="77777777" w:rsidTr="009E380F">
        <w:tc>
          <w:tcPr>
            <w:tcW w:w="10421" w:type="dxa"/>
            <w:tcBorders>
              <w:bottom w:val="single" w:sz="4" w:space="0" w:color="auto"/>
            </w:tcBorders>
            <w:shd w:val="clear" w:color="auto" w:fill="auto"/>
          </w:tcPr>
          <w:p w14:paraId="46EF8924" w14:textId="08728E3D" w:rsidR="001D4F60" w:rsidRDefault="00FF1E27" w:rsidP="009E380F">
            <w:pPr>
              <w:spacing w:before="120" w:after="120"/>
              <w:rPr>
                <w:sz w:val="18"/>
                <w:szCs w:val="18"/>
              </w:rPr>
            </w:pPr>
            <w:r>
              <w:rPr>
                <w:sz w:val="18"/>
                <w:szCs w:val="18"/>
              </w:rPr>
              <w:t>“In this study only eleven out of 35* tendons studied (33%) responded to treatment. As six of these patients had received a steroid and five had not, it appears that locally acting steroids have no role to play. Patients who did respond to treatment had only minimal signs and symptoms when they presented and recovered within six weeks” (</w:t>
            </w:r>
            <w:proofErr w:type="spellStart"/>
            <w:r>
              <w:rPr>
                <w:sz w:val="18"/>
                <w:szCs w:val="18"/>
              </w:rPr>
              <w:t>DaCruz</w:t>
            </w:r>
            <w:proofErr w:type="spellEnd"/>
            <w:r>
              <w:rPr>
                <w:sz w:val="18"/>
                <w:szCs w:val="18"/>
              </w:rPr>
              <w:t xml:space="preserve"> et al, 1988, 65).</w:t>
            </w:r>
          </w:p>
          <w:p w14:paraId="00BACFC6" w14:textId="19C18718" w:rsidR="00FF1E27" w:rsidRDefault="00FF1E27" w:rsidP="009E380F">
            <w:pPr>
              <w:spacing w:before="120" w:after="120"/>
              <w:rPr>
                <w:sz w:val="18"/>
                <w:szCs w:val="18"/>
              </w:rPr>
            </w:pPr>
          </w:p>
          <w:p w14:paraId="5586EE1A" w14:textId="4D5C3AE5" w:rsidR="001D4F60" w:rsidRDefault="00FF1E27" w:rsidP="009E380F">
            <w:pPr>
              <w:spacing w:before="120" w:after="120"/>
              <w:rPr>
                <w:sz w:val="18"/>
                <w:szCs w:val="18"/>
              </w:rPr>
            </w:pPr>
            <w:r>
              <w:rPr>
                <w:sz w:val="18"/>
                <w:szCs w:val="18"/>
              </w:rPr>
              <w:t xml:space="preserve">Considering the experience of </w:t>
            </w:r>
            <w:proofErr w:type="spellStart"/>
            <w:r>
              <w:rPr>
                <w:sz w:val="18"/>
                <w:szCs w:val="18"/>
              </w:rPr>
              <w:t>Kvist</w:t>
            </w:r>
            <w:proofErr w:type="spellEnd"/>
            <w:r>
              <w:rPr>
                <w:sz w:val="18"/>
                <w:szCs w:val="18"/>
              </w:rPr>
              <w:t xml:space="preserve"> H and </w:t>
            </w:r>
            <w:proofErr w:type="spellStart"/>
            <w:r>
              <w:rPr>
                <w:sz w:val="18"/>
                <w:szCs w:val="18"/>
              </w:rPr>
              <w:t>Kvist</w:t>
            </w:r>
            <w:proofErr w:type="spellEnd"/>
            <w:r>
              <w:rPr>
                <w:sz w:val="18"/>
                <w:szCs w:val="18"/>
              </w:rPr>
              <w:t xml:space="preserve"> M, 1980, and Clancy et al, 1986</w:t>
            </w:r>
            <w:r w:rsidR="00153639">
              <w:rPr>
                <w:sz w:val="18"/>
                <w:szCs w:val="18"/>
              </w:rPr>
              <w:t>**</w:t>
            </w:r>
            <w:r>
              <w:rPr>
                <w:sz w:val="18"/>
                <w:szCs w:val="18"/>
              </w:rPr>
              <w:t xml:space="preserve">, </w:t>
            </w:r>
            <w:proofErr w:type="spellStart"/>
            <w:r>
              <w:rPr>
                <w:sz w:val="18"/>
                <w:szCs w:val="18"/>
              </w:rPr>
              <w:t>DaCruz</w:t>
            </w:r>
            <w:proofErr w:type="spellEnd"/>
            <w:r>
              <w:rPr>
                <w:sz w:val="18"/>
                <w:szCs w:val="18"/>
              </w:rPr>
              <w:t xml:space="preserve"> et al</w:t>
            </w:r>
            <w:r w:rsidR="00193946">
              <w:rPr>
                <w:sz w:val="18"/>
                <w:szCs w:val="18"/>
                <w:vertAlign w:val="superscript"/>
              </w:rPr>
              <w:t>3</w:t>
            </w:r>
            <w:r w:rsidR="00193946">
              <w:rPr>
                <w:sz w:val="18"/>
                <w:szCs w:val="18"/>
              </w:rPr>
              <w:t xml:space="preserve"> notes that patients who don’t respond to conservative treatment, such as rest and physical therapy, but want to continue living an active lifestyle have surgery sooner rather than later. Further, the study authors mention that 11 patients in this study ended up having surgery in which the thickened </w:t>
            </w:r>
            <w:proofErr w:type="spellStart"/>
            <w:r w:rsidR="00193946">
              <w:rPr>
                <w:sz w:val="18"/>
                <w:szCs w:val="18"/>
              </w:rPr>
              <w:t>paratendon</w:t>
            </w:r>
            <w:proofErr w:type="spellEnd"/>
            <w:r w:rsidR="00193946">
              <w:rPr>
                <w:sz w:val="18"/>
                <w:szCs w:val="18"/>
              </w:rPr>
              <w:t xml:space="preserve"> was stripped, and these patients have returned to normal activity and are no longer symptomatic.</w:t>
            </w:r>
            <w:r w:rsidR="00193946">
              <w:rPr>
                <w:sz w:val="18"/>
                <w:szCs w:val="18"/>
                <w:vertAlign w:val="superscript"/>
              </w:rPr>
              <w:t>3</w:t>
            </w:r>
            <w:r w:rsidR="00193946">
              <w:rPr>
                <w:sz w:val="18"/>
                <w:szCs w:val="18"/>
              </w:rPr>
              <w:t xml:space="preserve"> </w:t>
            </w:r>
          </w:p>
          <w:p w14:paraId="664C39BB" w14:textId="77777777" w:rsidR="00153639" w:rsidRDefault="00153639" w:rsidP="009E380F">
            <w:pPr>
              <w:spacing w:before="120" w:after="120"/>
              <w:rPr>
                <w:sz w:val="18"/>
                <w:szCs w:val="18"/>
              </w:rPr>
            </w:pPr>
          </w:p>
          <w:p w14:paraId="154FB345" w14:textId="18FF53DB" w:rsidR="00153639" w:rsidRDefault="00153639" w:rsidP="009E380F">
            <w:pPr>
              <w:spacing w:before="120" w:after="120"/>
              <w:rPr>
                <w:sz w:val="18"/>
                <w:szCs w:val="18"/>
              </w:rPr>
            </w:pPr>
            <w:r>
              <w:rPr>
                <w:sz w:val="18"/>
                <w:szCs w:val="18"/>
              </w:rPr>
              <w:t>*Study authors reported here that 35 tendons were studied. According to the study and the percentage given, it is likely that this is a typing error in which they intended to report 34.</w:t>
            </w:r>
          </w:p>
          <w:p w14:paraId="209ED588" w14:textId="168A1D84" w:rsidR="00153639" w:rsidRPr="002F16E1" w:rsidRDefault="00153639" w:rsidP="009E380F">
            <w:pPr>
              <w:spacing w:before="120" w:after="120"/>
              <w:rPr>
                <w:sz w:val="18"/>
                <w:szCs w:val="18"/>
              </w:rPr>
            </w:pPr>
            <w:r>
              <w:rPr>
                <w:sz w:val="18"/>
                <w:szCs w:val="18"/>
              </w:rPr>
              <w:t>**Another likely typing error in which they indented to report 1976.</w:t>
            </w:r>
          </w:p>
          <w:p w14:paraId="3469312A" w14:textId="77777777" w:rsidR="001D4F60" w:rsidRPr="002F16E1" w:rsidRDefault="001D4F60" w:rsidP="009E380F">
            <w:pPr>
              <w:spacing w:before="120" w:after="120"/>
              <w:jc w:val="right"/>
              <w:rPr>
                <w:sz w:val="18"/>
                <w:szCs w:val="18"/>
              </w:rPr>
            </w:pPr>
          </w:p>
        </w:tc>
      </w:tr>
      <w:tr w:rsidR="001D4F60" w:rsidRPr="002F16E1" w14:paraId="2FA212E0" w14:textId="77777777" w:rsidTr="009E380F">
        <w:tc>
          <w:tcPr>
            <w:tcW w:w="10421" w:type="dxa"/>
            <w:shd w:val="clear" w:color="auto" w:fill="E6E6E6"/>
          </w:tcPr>
          <w:p w14:paraId="261C8835"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327CC7E" w14:textId="77777777" w:rsidTr="009E380F">
        <w:tc>
          <w:tcPr>
            <w:tcW w:w="10421" w:type="dxa"/>
            <w:shd w:val="clear" w:color="auto" w:fill="auto"/>
          </w:tcPr>
          <w:p w14:paraId="2EDC43F5" w14:textId="4CAF5F63" w:rsidR="001D4F60" w:rsidRPr="00FB0D4B" w:rsidRDefault="001D4F60" w:rsidP="009E380F">
            <w:pPr>
              <w:spacing w:before="120" w:after="120"/>
              <w:rPr>
                <w:b/>
                <w:sz w:val="18"/>
                <w:szCs w:val="18"/>
              </w:rPr>
            </w:pPr>
            <w:r w:rsidRPr="002F16E1">
              <w:rPr>
                <w:b/>
                <w:sz w:val="18"/>
                <w:szCs w:val="18"/>
              </w:rPr>
              <w:t>Validity</w:t>
            </w:r>
          </w:p>
        </w:tc>
      </w:tr>
      <w:tr w:rsidR="001D4F60" w:rsidRPr="002F16E1" w14:paraId="34CE606B" w14:textId="77777777" w:rsidTr="009E380F">
        <w:tc>
          <w:tcPr>
            <w:tcW w:w="10421" w:type="dxa"/>
            <w:shd w:val="clear" w:color="auto" w:fill="auto"/>
          </w:tcPr>
          <w:p w14:paraId="38DCEA58" w14:textId="364F3D9F" w:rsidR="001D4F60" w:rsidRDefault="00F41AED" w:rsidP="00F41AED">
            <w:pPr>
              <w:pStyle w:val="ListParagraph"/>
              <w:numPr>
                <w:ilvl w:val="0"/>
                <w:numId w:val="24"/>
              </w:numPr>
              <w:spacing w:before="120" w:after="120"/>
              <w:rPr>
                <w:sz w:val="18"/>
                <w:szCs w:val="18"/>
              </w:rPr>
            </w:pPr>
            <w:proofErr w:type="spellStart"/>
            <w:r>
              <w:rPr>
                <w:sz w:val="18"/>
                <w:szCs w:val="18"/>
              </w:rPr>
              <w:t>PEDro</w:t>
            </w:r>
            <w:proofErr w:type="spellEnd"/>
            <w:r>
              <w:rPr>
                <w:sz w:val="18"/>
                <w:szCs w:val="18"/>
              </w:rPr>
              <w:t xml:space="preserve"> Score: </w:t>
            </w:r>
            <w:r w:rsidR="009C4DC0">
              <w:rPr>
                <w:sz w:val="18"/>
                <w:szCs w:val="18"/>
              </w:rPr>
              <w:t>7</w:t>
            </w:r>
            <w:r w:rsidR="007B3215">
              <w:rPr>
                <w:sz w:val="18"/>
                <w:szCs w:val="18"/>
              </w:rPr>
              <w:t>/10 based on Eligibility Criteria: Yes; Random Allocation: yes; Concealed Allocation: No; Baseline Comparison: Yes; Blind Sub</w:t>
            </w:r>
            <w:r w:rsidR="009C4DC0">
              <w:rPr>
                <w:sz w:val="18"/>
                <w:szCs w:val="18"/>
              </w:rPr>
              <w:t>jects: Yes; Blind Therapist: no</w:t>
            </w:r>
            <w:r w:rsidR="007B3215">
              <w:rPr>
                <w:sz w:val="18"/>
                <w:szCs w:val="18"/>
              </w:rPr>
              <w:t>; Blind Assessors: Yes; Adequate Follow-up: Yes; Intention-to-treat analysis: Yes; Between Group Comparison: Yes; Point Estimates and Variability: No. (Eligibility score does not contribute to total score.)</w:t>
            </w:r>
          </w:p>
          <w:p w14:paraId="1C6DDD47" w14:textId="77777777" w:rsidR="00A84E35" w:rsidRDefault="00A84E35" w:rsidP="00A84E35">
            <w:pPr>
              <w:spacing w:before="120" w:after="120"/>
              <w:rPr>
                <w:sz w:val="18"/>
                <w:szCs w:val="18"/>
              </w:rPr>
            </w:pPr>
          </w:p>
          <w:p w14:paraId="47EFE37F" w14:textId="7660E5C3" w:rsidR="00135649" w:rsidRDefault="00135649" w:rsidP="00A84E35">
            <w:pPr>
              <w:spacing w:before="120" w:after="120"/>
              <w:rPr>
                <w:sz w:val="18"/>
                <w:szCs w:val="18"/>
              </w:rPr>
            </w:pPr>
            <w:r>
              <w:rPr>
                <w:sz w:val="18"/>
                <w:szCs w:val="18"/>
              </w:rPr>
              <w:t>Although this study was well designed, there were many methodological flaws noted that hinder the credibility. Many of these flaws were a lack of reporting and c</w:t>
            </w:r>
            <w:r w:rsidR="00DB05E9">
              <w:rPr>
                <w:sz w:val="18"/>
                <w:szCs w:val="18"/>
              </w:rPr>
              <w:t>alculation on the study authors’</w:t>
            </w:r>
            <w:r>
              <w:rPr>
                <w:sz w:val="18"/>
                <w:szCs w:val="18"/>
              </w:rPr>
              <w:t xml:space="preserve"> part. For example, no sample size calculation was reported. This limitation may have been compounded in that the study authors failed to report on the patients who were lost to follow-up. Hypothetically, the loss of 6 patients may have been do to an increase in tendon pain which could have skewed the authors predicted or desired outcome; therefore they </w:t>
            </w:r>
            <w:r w:rsidR="00C5671D">
              <w:rPr>
                <w:sz w:val="18"/>
                <w:szCs w:val="18"/>
              </w:rPr>
              <w:t xml:space="preserve">may have </w:t>
            </w:r>
            <w:r>
              <w:rPr>
                <w:sz w:val="18"/>
                <w:szCs w:val="18"/>
              </w:rPr>
              <w:t>chose</w:t>
            </w:r>
            <w:r w:rsidR="00C5671D">
              <w:rPr>
                <w:sz w:val="18"/>
                <w:szCs w:val="18"/>
              </w:rPr>
              <w:t>n</w:t>
            </w:r>
            <w:r>
              <w:rPr>
                <w:sz w:val="18"/>
                <w:szCs w:val="18"/>
              </w:rPr>
              <w:t xml:space="preserve"> not to follow them. </w:t>
            </w:r>
            <w:r w:rsidR="0044332B">
              <w:rPr>
                <w:sz w:val="18"/>
                <w:szCs w:val="18"/>
              </w:rPr>
              <w:t>Furthermore, this study would have benefited from an increased number of participants. There were only 34 tendons total asse</w:t>
            </w:r>
            <w:r w:rsidR="004179B2">
              <w:rPr>
                <w:sz w:val="18"/>
                <w:szCs w:val="18"/>
              </w:rPr>
              <w:t xml:space="preserve">ssed in this study at baseline: </w:t>
            </w:r>
            <w:r w:rsidR="0044332B">
              <w:rPr>
                <w:sz w:val="18"/>
                <w:szCs w:val="18"/>
              </w:rPr>
              <w:t>19 in the experimental group and 15 in the control group. This difference of 4 tendons may have skewed the data</w:t>
            </w:r>
            <w:r w:rsidR="004179B2">
              <w:rPr>
                <w:sz w:val="18"/>
                <w:szCs w:val="18"/>
              </w:rPr>
              <w:t xml:space="preserve"> considering the limited amount of tendons studied total. </w:t>
            </w:r>
          </w:p>
          <w:p w14:paraId="6678F44C" w14:textId="16A2FBA0" w:rsidR="00DB05E9" w:rsidRDefault="00DB05E9" w:rsidP="00A84E35">
            <w:pPr>
              <w:spacing w:before="120" w:after="120"/>
              <w:rPr>
                <w:sz w:val="18"/>
                <w:szCs w:val="18"/>
              </w:rPr>
            </w:pPr>
            <w:r>
              <w:rPr>
                <w:sz w:val="18"/>
                <w:szCs w:val="18"/>
              </w:rPr>
              <w:t>As previously mentioned, it is impossible to draw conclusions on the actual significance of this study without the report of p values, standard deviations or a power analysis.</w:t>
            </w:r>
          </w:p>
          <w:p w14:paraId="47FAE378" w14:textId="5750AE1A" w:rsidR="00A84E35" w:rsidRDefault="00A84E35" w:rsidP="00A84E35">
            <w:pPr>
              <w:spacing w:before="120" w:after="120"/>
              <w:rPr>
                <w:sz w:val="18"/>
                <w:szCs w:val="18"/>
              </w:rPr>
            </w:pPr>
            <w:r>
              <w:rPr>
                <w:sz w:val="18"/>
                <w:szCs w:val="18"/>
              </w:rPr>
              <w:t xml:space="preserve">The study authors make no mention of </w:t>
            </w:r>
            <w:r w:rsidR="00241978">
              <w:rPr>
                <w:sz w:val="18"/>
                <w:szCs w:val="18"/>
              </w:rPr>
              <w:t xml:space="preserve">specific </w:t>
            </w:r>
            <w:r>
              <w:rPr>
                <w:sz w:val="18"/>
                <w:szCs w:val="18"/>
              </w:rPr>
              <w:t xml:space="preserve">allocation </w:t>
            </w:r>
            <w:r w:rsidR="00241978">
              <w:rPr>
                <w:sz w:val="18"/>
                <w:szCs w:val="18"/>
              </w:rPr>
              <w:t xml:space="preserve">concealment </w:t>
            </w:r>
            <w:r>
              <w:rPr>
                <w:sz w:val="18"/>
                <w:szCs w:val="18"/>
              </w:rPr>
              <w:t xml:space="preserve">procedures; therefore, </w:t>
            </w:r>
            <w:r w:rsidR="00DF7E09">
              <w:rPr>
                <w:sz w:val="18"/>
                <w:szCs w:val="18"/>
              </w:rPr>
              <w:t>one would be</w:t>
            </w:r>
            <w:r>
              <w:rPr>
                <w:sz w:val="18"/>
                <w:szCs w:val="18"/>
              </w:rPr>
              <w:t xml:space="preserve"> unable to ascertain whether allocation was concealed or not. Without concealed allocation there is a risk of the researcher responsible for admitting patients into the study</w:t>
            </w:r>
            <w:r w:rsidR="00DF7E09">
              <w:rPr>
                <w:sz w:val="18"/>
                <w:szCs w:val="18"/>
              </w:rPr>
              <w:t xml:space="preserve"> placing those with better prognosis in the experimental group and those with a poorer prognosis in the control group, or vice versa, which results in bias. For example, the authors mention that the four patients who were not active in sports (who also had minimal signs and symptoms at baseline) recovered after six weeks. Because the authors did not provide information as to which study group these four patients were in, one could assume</w:t>
            </w:r>
            <w:r w:rsidR="00135649">
              <w:rPr>
                <w:sz w:val="18"/>
                <w:szCs w:val="18"/>
              </w:rPr>
              <w:t>,</w:t>
            </w:r>
            <w:r w:rsidR="00DF7E09">
              <w:rPr>
                <w:sz w:val="18"/>
                <w:szCs w:val="18"/>
              </w:rPr>
              <w:t xml:space="preserve"> </w:t>
            </w:r>
            <w:r w:rsidR="002F49C8">
              <w:rPr>
                <w:sz w:val="18"/>
                <w:szCs w:val="18"/>
              </w:rPr>
              <w:t>due to a lack of allocation concealment</w:t>
            </w:r>
            <w:r w:rsidR="00135649">
              <w:rPr>
                <w:sz w:val="18"/>
                <w:szCs w:val="18"/>
              </w:rPr>
              <w:t>,</w:t>
            </w:r>
            <w:r w:rsidR="002F49C8">
              <w:rPr>
                <w:sz w:val="18"/>
                <w:szCs w:val="18"/>
              </w:rPr>
              <w:t xml:space="preserve"> </w:t>
            </w:r>
            <w:r w:rsidR="00DF7E09">
              <w:rPr>
                <w:sz w:val="18"/>
                <w:szCs w:val="18"/>
              </w:rPr>
              <w:t xml:space="preserve">that these patients were placed in the control group, thus showing that the placebo worked just as well as the steroids. </w:t>
            </w:r>
            <w:r w:rsidR="004179B2">
              <w:rPr>
                <w:sz w:val="18"/>
                <w:szCs w:val="18"/>
              </w:rPr>
              <w:t>The study authors also failed to report specifics regarding demographics of each study group. They report that demographics were comparable between the two groups at baseline, but the details of information were withheld. For example, I am unable to determine how many males versus females there were in each group.</w:t>
            </w:r>
          </w:p>
          <w:p w14:paraId="4A283FC5" w14:textId="7E5B63D2" w:rsidR="001D4F60" w:rsidRPr="00580607" w:rsidRDefault="0044332B" w:rsidP="009E380F">
            <w:pPr>
              <w:spacing w:before="120" w:after="120"/>
              <w:rPr>
                <w:sz w:val="18"/>
                <w:szCs w:val="18"/>
              </w:rPr>
            </w:pPr>
            <w:r>
              <w:rPr>
                <w:sz w:val="18"/>
                <w:szCs w:val="18"/>
              </w:rPr>
              <w:t>Lastly</w:t>
            </w:r>
            <w:r w:rsidR="004179B2">
              <w:rPr>
                <w:sz w:val="18"/>
                <w:szCs w:val="18"/>
              </w:rPr>
              <w:t>, there was no objective method of confirming the injection site, such as imaging. Rather, the injection was given based on the lead authors prediction of accurate placement</w:t>
            </w:r>
            <w:r w:rsidR="00255314">
              <w:rPr>
                <w:sz w:val="18"/>
                <w:szCs w:val="18"/>
              </w:rPr>
              <w:t>, and the amount of experience the lead author has in delivering injections for this pathology is not given in the report. Nevertheless, to obtain maximal credibility when performing a research study, regardless of physician experience, an objective method should have been used. Literature even suggests that appropriate placement of an injection for this pathology is difficult to achieve without imaging.</w:t>
            </w:r>
            <w:r w:rsidR="00255314">
              <w:rPr>
                <w:sz w:val="18"/>
                <w:szCs w:val="18"/>
                <w:vertAlign w:val="superscript"/>
              </w:rPr>
              <w:t>10</w:t>
            </w:r>
            <w:r w:rsidR="00255314">
              <w:rPr>
                <w:sz w:val="18"/>
                <w:szCs w:val="18"/>
              </w:rPr>
              <w:t xml:space="preserve"> This proposes that the lack of imaging may have contributed to the m</w:t>
            </w:r>
            <w:r w:rsidR="00DB05E9">
              <w:rPr>
                <w:sz w:val="18"/>
                <w:szCs w:val="18"/>
              </w:rPr>
              <w:t xml:space="preserve">inimal effects seen in this study. </w:t>
            </w:r>
          </w:p>
          <w:p w14:paraId="284DAE31" w14:textId="77777777" w:rsidR="001D4F60" w:rsidRDefault="001D4F60" w:rsidP="009E380F">
            <w:pPr>
              <w:spacing w:before="120" w:after="120"/>
              <w:jc w:val="right"/>
              <w:rPr>
                <w:sz w:val="18"/>
                <w:szCs w:val="18"/>
              </w:rPr>
            </w:pPr>
          </w:p>
          <w:p w14:paraId="47205296" w14:textId="77777777" w:rsidR="00FB0D4B" w:rsidRDefault="00FB0D4B" w:rsidP="009E380F">
            <w:pPr>
              <w:spacing w:before="120" w:after="120"/>
              <w:jc w:val="right"/>
              <w:rPr>
                <w:sz w:val="18"/>
                <w:szCs w:val="18"/>
              </w:rPr>
            </w:pPr>
          </w:p>
          <w:p w14:paraId="05234302" w14:textId="77777777" w:rsidR="00FB0D4B" w:rsidRPr="00580607" w:rsidRDefault="00FB0D4B" w:rsidP="009E380F">
            <w:pPr>
              <w:spacing w:before="120" w:after="120"/>
              <w:jc w:val="right"/>
              <w:rPr>
                <w:sz w:val="18"/>
                <w:szCs w:val="18"/>
              </w:rPr>
            </w:pPr>
          </w:p>
        </w:tc>
      </w:tr>
      <w:tr w:rsidR="001D4F60" w:rsidRPr="002F16E1" w14:paraId="77DC188E" w14:textId="77777777" w:rsidTr="009E380F">
        <w:tc>
          <w:tcPr>
            <w:tcW w:w="10421" w:type="dxa"/>
            <w:shd w:val="clear" w:color="auto" w:fill="auto"/>
          </w:tcPr>
          <w:p w14:paraId="31D94941" w14:textId="78E90CC8" w:rsidR="001D4F60" w:rsidRPr="00FB0D4B" w:rsidRDefault="001D4F60" w:rsidP="009E380F">
            <w:pPr>
              <w:spacing w:before="120" w:after="120"/>
              <w:jc w:val="both"/>
              <w:rPr>
                <w:b/>
                <w:sz w:val="18"/>
                <w:szCs w:val="18"/>
              </w:rPr>
            </w:pPr>
            <w:r w:rsidRPr="002F16E1">
              <w:rPr>
                <w:b/>
                <w:sz w:val="18"/>
                <w:szCs w:val="18"/>
              </w:rPr>
              <w:lastRenderedPageBreak/>
              <w:t>Interpretation of Results</w:t>
            </w:r>
          </w:p>
        </w:tc>
      </w:tr>
      <w:tr w:rsidR="001D4F60" w:rsidRPr="002F16E1" w14:paraId="589CC0B7" w14:textId="77777777" w:rsidTr="009E380F">
        <w:tc>
          <w:tcPr>
            <w:tcW w:w="10421" w:type="dxa"/>
            <w:tcBorders>
              <w:bottom w:val="single" w:sz="4" w:space="0" w:color="auto"/>
            </w:tcBorders>
            <w:shd w:val="clear" w:color="auto" w:fill="auto"/>
          </w:tcPr>
          <w:p w14:paraId="51A6E689" w14:textId="57CCF570" w:rsidR="001D4F60" w:rsidRDefault="00135649" w:rsidP="004001AB">
            <w:pPr>
              <w:pStyle w:val="ListParagraph"/>
              <w:numPr>
                <w:ilvl w:val="0"/>
                <w:numId w:val="24"/>
              </w:numPr>
              <w:spacing w:before="120" w:after="120"/>
              <w:rPr>
                <w:sz w:val="18"/>
                <w:szCs w:val="18"/>
              </w:rPr>
            </w:pPr>
            <w:r>
              <w:rPr>
                <w:b/>
                <w:sz w:val="18"/>
                <w:szCs w:val="18"/>
              </w:rPr>
              <w:t xml:space="preserve">Pain: </w:t>
            </w:r>
            <w:r w:rsidR="00EC7350">
              <w:rPr>
                <w:sz w:val="18"/>
                <w:szCs w:val="18"/>
              </w:rPr>
              <w:t>Despite</w:t>
            </w:r>
            <w:r>
              <w:rPr>
                <w:sz w:val="18"/>
                <w:szCs w:val="18"/>
              </w:rPr>
              <w:t xml:space="preserve"> the lack of statistic</w:t>
            </w:r>
            <w:r w:rsidR="0044332B">
              <w:rPr>
                <w:sz w:val="18"/>
                <w:szCs w:val="18"/>
              </w:rPr>
              <w:t>al analysis, the</w:t>
            </w:r>
            <w:r>
              <w:rPr>
                <w:sz w:val="18"/>
                <w:szCs w:val="18"/>
              </w:rPr>
              <w:t xml:space="preserve"> results imply that there is no benefit of steroids in decreasing pain when compared to an anaesthetic. </w:t>
            </w:r>
            <w:r w:rsidR="00C5671D">
              <w:rPr>
                <w:sz w:val="18"/>
                <w:szCs w:val="18"/>
              </w:rPr>
              <w:t>Both groups appeared to have similar scores and improvements in pain throughout the study.</w:t>
            </w:r>
          </w:p>
          <w:p w14:paraId="38B5FB59" w14:textId="45FD9759" w:rsidR="007A7038" w:rsidRDefault="007A7038" w:rsidP="004001AB">
            <w:pPr>
              <w:pStyle w:val="ListParagraph"/>
              <w:numPr>
                <w:ilvl w:val="0"/>
                <w:numId w:val="24"/>
              </w:numPr>
              <w:spacing w:before="120" w:after="120"/>
              <w:rPr>
                <w:sz w:val="18"/>
                <w:szCs w:val="18"/>
              </w:rPr>
            </w:pPr>
            <w:r>
              <w:rPr>
                <w:b/>
                <w:sz w:val="18"/>
                <w:szCs w:val="18"/>
              </w:rPr>
              <w:t>Activity:</w:t>
            </w:r>
            <w:r>
              <w:rPr>
                <w:sz w:val="18"/>
                <w:szCs w:val="18"/>
              </w:rPr>
              <w:t xml:space="preserve"> </w:t>
            </w:r>
            <w:r w:rsidR="00EC7350">
              <w:rPr>
                <w:sz w:val="18"/>
                <w:szCs w:val="18"/>
              </w:rPr>
              <w:t>Despite the lack of statistical analysis, the results imply that there is no benefit of steroids in improving activity when compared to an anaesthetic. Both groups appeared to have similar scores and improvements in activity levels throughout the study.</w:t>
            </w:r>
          </w:p>
          <w:p w14:paraId="541CB5C8" w14:textId="4D9EA0F5" w:rsidR="007A7038" w:rsidRPr="0044332B" w:rsidRDefault="007A7038" w:rsidP="004001AB">
            <w:pPr>
              <w:pStyle w:val="ListParagraph"/>
              <w:numPr>
                <w:ilvl w:val="0"/>
                <w:numId w:val="24"/>
              </w:numPr>
              <w:spacing w:before="120" w:after="120"/>
              <w:rPr>
                <w:sz w:val="18"/>
                <w:szCs w:val="18"/>
              </w:rPr>
            </w:pPr>
            <w:r>
              <w:rPr>
                <w:b/>
                <w:sz w:val="18"/>
                <w:szCs w:val="18"/>
              </w:rPr>
              <w:t xml:space="preserve">Tenderness: </w:t>
            </w:r>
            <w:r w:rsidR="00EC7350">
              <w:rPr>
                <w:sz w:val="18"/>
                <w:szCs w:val="18"/>
              </w:rPr>
              <w:t>Despite the lack of statistical analysis, the results imply that there is no benefit of steroids in decreasing tenderness when compared to an anaesthetic. Both groups appeared to have similar scores and improvements in tenderness throughout the study.</w:t>
            </w:r>
          </w:p>
          <w:p w14:paraId="5CA59D9F" w14:textId="7654EE0E" w:rsidR="001D4F60" w:rsidRPr="00EC7350" w:rsidRDefault="0044332B" w:rsidP="00EC7350">
            <w:pPr>
              <w:pStyle w:val="ListParagraph"/>
              <w:numPr>
                <w:ilvl w:val="0"/>
                <w:numId w:val="24"/>
              </w:numPr>
              <w:spacing w:before="120" w:after="120"/>
              <w:rPr>
                <w:sz w:val="18"/>
                <w:szCs w:val="18"/>
              </w:rPr>
            </w:pPr>
            <w:r>
              <w:rPr>
                <w:sz w:val="18"/>
                <w:szCs w:val="18"/>
              </w:rPr>
              <w:t>Over</w:t>
            </w:r>
            <w:r w:rsidR="00932618">
              <w:rPr>
                <w:sz w:val="18"/>
                <w:szCs w:val="18"/>
              </w:rPr>
              <w:t>all, with regards to this study</w:t>
            </w:r>
            <w:r>
              <w:rPr>
                <w:sz w:val="18"/>
                <w:szCs w:val="18"/>
              </w:rPr>
              <w:t xml:space="preserve"> it appears as though steroid injections have no benefit in outcomes for patients with Achilles </w:t>
            </w:r>
            <w:proofErr w:type="spellStart"/>
            <w:r>
              <w:rPr>
                <w:sz w:val="18"/>
                <w:szCs w:val="18"/>
              </w:rPr>
              <w:t>paratendinitis</w:t>
            </w:r>
            <w:proofErr w:type="spellEnd"/>
            <w:r>
              <w:rPr>
                <w:sz w:val="18"/>
                <w:szCs w:val="18"/>
              </w:rPr>
              <w:t>. Again, one must take into account the lack of quality of this study.</w:t>
            </w:r>
          </w:p>
        </w:tc>
      </w:tr>
    </w:tbl>
    <w:p w14:paraId="109A1229" w14:textId="77777777" w:rsidR="001D4F60" w:rsidRPr="001D4F60" w:rsidRDefault="001D4F60" w:rsidP="001D4F60">
      <w:pPr>
        <w:spacing w:before="240" w:after="240"/>
        <w:rPr>
          <w:b/>
          <w:sz w:val="18"/>
          <w:szCs w:val="18"/>
        </w:rPr>
      </w:pPr>
    </w:p>
    <w:p w14:paraId="01B77508"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64706FA5" w14:textId="77777777" w:rsidTr="002F16E1">
        <w:tc>
          <w:tcPr>
            <w:tcW w:w="10421" w:type="dxa"/>
            <w:shd w:val="clear" w:color="auto" w:fill="auto"/>
          </w:tcPr>
          <w:p w14:paraId="5B51CD2A" w14:textId="057D8DEB" w:rsidR="00DB05E9" w:rsidRPr="002F16E1" w:rsidRDefault="00DB05E9" w:rsidP="00DB05E9">
            <w:pPr>
              <w:spacing w:before="120" w:after="120"/>
              <w:rPr>
                <w:sz w:val="18"/>
                <w:szCs w:val="18"/>
              </w:rPr>
            </w:pPr>
            <w:r>
              <w:rPr>
                <w:sz w:val="18"/>
                <w:szCs w:val="18"/>
              </w:rPr>
              <w:t xml:space="preserve">The review of the study by </w:t>
            </w:r>
            <w:proofErr w:type="spellStart"/>
            <w:r>
              <w:rPr>
                <w:sz w:val="18"/>
                <w:szCs w:val="18"/>
              </w:rPr>
              <w:t>Rompe</w:t>
            </w:r>
            <w:proofErr w:type="spellEnd"/>
            <w:r>
              <w:rPr>
                <w:sz w:val="18"/>
                <w:szCs w:val="18"/>
              </w:rPr>
              <w:t xml:space="preserve"> et al indicates that eccentric exercise for the treatment of chronic non-</w:t>
            </w:r>
            <w:proofErr w:type="spellStart"/>
            <w:r>
              <w:rPr>
                <w:sz w:val="18"/>
                <w:szCs w:val="18"/>
              </w:rPr>
              <w:t>insertional</w:t>
            </w:r>
            <w:proofErr w:type="spellEnd"/>
            <w:r>
              <w:rPr>
                <w:sz w:val="18"/>
                <w:szCs w:val="18"/>
              </w:rPr>
              <w:t xml:space="preserve"> Achilles </w:t>
            </w:r>
            <w:proofErr w:type="spellStart"/>
            <w:r>
              <w:rPr>
                <w:sz w:val="18"/>
                <w:szCs w:val="18"/>
              </w:rPr>
              <w:t>tendinopathy</w:t>
            </w:r>
            <w:proofErr w:type="spellEnd"/>
            <w:r>
              <w:rPr>
                <w:sz w:val="18"/>
                <w:szCs w:val="18"/>
              </w:rPr>
              <w:t xml:space="preserve"> has positive outcomes and supports the intervention of interest. Furthermore, shock-wave treatment for the treatment of this pathology also demonstrates positive outcomes</w:t>
            </w:r>
            <w:r w:rsidR="00FB0D4B">
              <w:rPr>
                <w:sz w:val="18"/>
                <w:szCs w:val="18"/>
              </w:rPr>
              <w:t>. Clinically, this study provides evidence</w:t>
            </w:r>
            <w:r>
              <w:rPr>
                <w:sz w:val="18"/>
                <w:szCs w:val="18"/>
              </w:rPr>
              <w:t xml:space="preserve"> that either an eccentric loading program or a shock-wave therapy program should be used</w:t>
            </w:r>
            <w:r w:rsidR="006F5A53">
              <w:rPr>
                <w:sz w:val="18"/>
                <w:szCs w:val="18"/>
              </w:rPr>
              <w:t>,</w:t>
            </w:r>
            <w:r>
              <w:rPr>
                <w:sz w:val="18"/>
                <w:szCs w:val="18"/>
              </w:rPr>
              <w:t xml:space="preserve"> and rest should not be used in the treatment of chronic non-</w:t>
            </w:r>
            <w:proofErr w:type="spellStart"/>
            <w:r>
              <w:rPr>
                <w:sz w:val="18"/>
                <w:szCs w:val="18"/>
              </w:rPr>
              <w:t>insertional</w:t>
            </w:r>
            <w:proofErr w:type="spellEnd"/>
            <w:r>
              <w:rPr>
                <w:sz w:val="18"/>
                <w:szCs w:val="18"/>
              </w:rPr>
              <w:t xml:space="preserve"> Achilles </w:t>
            </w:r>
            <w:proofErr w:type="spellStart"/>
            <w:r>
              <w:rPr>
                <w:sz w:val="18"/>
                <w:szCs w:val="18"/>
              </w:rPr>
              <w:t>tendinopathy</w:t>
            </w:r>
            <w:proofErr w:type="spellEnd"/>
            <w:r>
              <w:rPr>
                <w:sz w:val="18"/>
                <w:szCs w:val="18"/>
              </w:rPr>
              <w:t xml:space="preserve">. Although a combined treatment of eccentric exercise and </w:t>
            </w:r>
            <w:proofErr w:type="gramStart"/>
            <w:r>
              <w:rPr>
                <w:sz w:val="18"/>
                <w:szCs w:val="18"/>
              </w:rPr>
              <w:t>shock-wave</w:t>
            </w:r>
            <w:proofErr w:type="gramEnd"/>
            <w:r>
              <w:rPr>
                <w:sz w:val="18"/>
                <w:szCs w:val="18"/>
              </w:rPr>
              <w:t xml:space="preserve"> therapy was not studied, this may be something to consider when treating a patient with this pathology. The authors of this study even mention “further studies should be performed to measure the benefits of combined eccentric training and SWT in the treatment of this condition.” Due to the lack of documented compliance from participants of the eccentric group, future research should perform studies in order to analyse compliance data. This would help in determining the effectiveness of various amounts of eccentric exercises, thereby allowing clinicians to appropriately prescribe eccentric interventions. If this study demonstrated that compliance in the EG was low, a clinician reading this article would then be prompted to devise a way to promote compliance with their patients in the clinic. With regards to my PICO question, this study indicates that eccentric exercise works in decreasing pain in the patient with Achilles </w:t>
            </w:r>
            <w:proofErr w:type="spellStart"/>
            <w:r>
              <w:rPr>
                <w:sz w:val="18"/>
                <w:szCs w:val="18"/>
              </w:rPr>
              <w:t>tendinopathy</w:t>
            </w:r>
            <w:proofErr w:type="spellEnd"/>
            <w:r>
              <w:rPr>
                <w:sz w:val="18"/>
                <w:szCs w:val="18"/>
              </w:rPr>
              <w:t xml:space="preserve"> and is a potential alternative to steroid injections. </w:t>
            </w:r>
          </w:p>
          <w:p w14:paraId="761167FA" w14:textId="6179A9DA" w:rsidR="007E5125" w:rsidRDefault="00DB05E9" w:rsidP="002F16E1">
            <w:pPr>
              <w:spacing w:before="120" w:after="120"/>
              <w:rPr>
                <w:sz w:val="18"/>
                <w:szCs w:val="18"/>
              </w:rPr>
            </w:pPr>
            <w:r>
              <w:rPr>
                <w:sz w:val="18"/>
                <w:szCs w:val="18"/>
              </w:rPr>
              <w:t xml:space="preserve">The review of the study by </w:t>
            </w:r>
            <w:proofErr w:type="spellStart"/>
            <w:r>
              <w:rPr>
                <w:sz w:val="18"/>
                <w:szCs w:val="18"/>
              </w:rPr>
              <w:t>Roos</w:t>
            </w:r>
            <w:proofErr w:type="spellEnd"/>
            <w:r>
              <w:rPr>
                <w:sz w:val="18"/>
                <w:szCs w:val="18"/>
              </w:rPr>
              <w:t xml:space="preserve"> et al indicates that </w:t>
            </w:r>
            <w:r w:rsidR="006D236E">
              <w:rPr>
                <w:sz w:val="18"/>
                <w:szCs w:val="18"/>
              </w:rPr>
              <w:t>eccentric exercise for the treatment of chronic non-</w:t>
            </w:r>
            <w:proofErr w:type="spellStart"/>
            <w:r w:rsidR="006D236E">
              <w:rPr>
                <w:sz w:val="18"/>
                <w:szCs w:val="18"/>
              </w:rPr>
              <w:t>insertional</w:t>
            </w:r>
            <w:proofErr w:type="spellEnd"/>
            <w:r w:rsidR="006D236E">
              <w:rPr>
                <w:sz w:val="18"/>
                <w:szCs w:val="18"/>
              </w:rPr>
              <w:t xml:space="preserve"> Achilles </w:t>
            </w:r>
            <w:proofErr w:type="spellStart"/>
            <w:r w:rsidR="006D236E">
              <w:rPr>
                <w:sz w:val="18"/>
                <w:szCs w:val="18"/>
              </w:rPr>
              <w:t>tendinopathy</w:t>
            </w:r>
            <w:proofErr w:type="spellEnd"/>
            <w:r w:rsidR="006D236E">
              <w:rPr>
                <w:sz w:val="18"/>
                <w:szCs w:val="18"/>
              </w:rPr>
              <w:t xml:space="preserve"> has positive outcomes and supports the intervention of interest. </w:t>
            </w:r>
            <w:r w:rsidR="0093325D">
              <w:rPr>
                <w:sz w:val="18"/>
                <w:szCs w:val="18"/>
              </w:rPr>
              <w:t xml:space="preserve">The study authors found great improvement in pain for those performing eccentric exercises by 6 weeks that lasted until 1-year follow-up. </w:t>
            </w:r>
            <w:r w:rsidR="006D236E">
              <w:rPr>
                <w:sz w:val="18"/>
                <w:szCs w:val="18"/>
              </w:rPr>
              <w:t>There was also evidence indicating that the use of a night splint alone or a night splint along with an eccentric exercise protocol has significant reductions in pain</w:t>
            </w:r>
            <w:r w:rsidR="0080388E">
              <w:rPr>
                <w:sz w:val="18"/>
                <w:szCs w:val="18"/>
              </w:rPr>
              <w:t xml:space="preserve">, although the effect was highest at 6 weeks and less at 12 and 26 weeks. Clinically, this study indicates that an eccentric exercise program for 12 weeks has greater effects on outcome than the use of a night splint alone or a night splint + eccentric exercises, and should be considered in treating pain associated with Achilles </w:t>
            </w:r>
            <w:proofErr w:type="spellStart"/>
            <w:r w:rsidR="0080388E">
              <w:rPr>
                <w:sz w:val="18"/>
                <w:szCs w:val="18"/>
              </w:rPr>
              <w:t>tendinopathy</w:t>
            </w:r>
            <w:proofErr w:type="spellEnd"/>
            <w:r w:rsidR="0080388E">
              <w:rPr>
                <w:sz w:val="18"/>
                <w:szCs w:val="18"/>
              </w:rPr>
              <w:t xml:space="preserve">. </w:t>
            </w:r>
            <w:r w:rsidR="00A4005E">
              <w:rPr>
                <w:sz w:val="18"/>
                <w:szCs w:val="18"/>
              </w:rPr>
              <w:t xml:space="preserve">Similar to the study performed by </w:t>
            </w:r>
            <w:proofErr w:type="spellStart"/>
            <w:r w:rsidR="00A4005E">
              <w:rPr>
                <w:sz w:val="18"/>
                <w:szCs w:val="18"/>
              </w:rPr>
              <w:t>Rompe</w:t>
            </w:r>
            <w:proofErr w:type="spellEnd"/>
            <w:r w:rsidR="00A4005E">
              <w:rPr>
                <w:sz w:val="18"/>
                <w:szCs w:val="18"/>
              </w:rPr>
              <w:t xml:space="preserve"> et al, this review indicates that there is a need for more studies with specific details regarding compliance </w:t>
            </w:r>
            <w:r w:rsidR="00C23618">
              <w:rPr>
                <w:sz w:val="18"/>
                <w:szCs w:val="18"/>
              </w:rPr>
              <w:t>with</w:t>
            </w:r>
            <w:r w:rsidR="00A4005E">
              <w:rPr>
                <w:sz w:val="18"/>
                <w:szCs w:val="18"/>
              </w:rPr>
              <w:t xml:space="preserve"> performing the eccentric exercise protocol. </w:t>
            </w:r>
            <w:r w:rsidR="00C23618">
              <w:rPr>
                <w:sz w:val="18"/>
                <w:szCs w:val="18"/>
              </w:rPr>
              <w:t xml:space="preserve">It would be helpful for the practicing clinician to know what reasons led to the participants’ progressive decrease in compliance in order to devise methods to promote increased compliance. </w:t>
            </w:r>
            <w:r w:rsidR="00E00AF8">
              <w:rPr>
                <w:sz w:val="18"/>
                <w:szCs w:val="18"/>
              </w:rPr>
              <w:t xml:space="preserve">With regards to my PICO question, this study also provides evidence that eccentric exercise works in decreasing pain in the patient with Achilles </w:t>
            </w:r>
            <w:proofErr w:type="spellStart"/>
            <w:r w:rsidR="00E00AF8">
              <w:rPr>
                <w:sz w:val="18"/>
                <w:szCs w:val="18"/>
              </w:rPr>
              <w:t>tendinopathy</w:t>
            </w:r>
            <w:proofErr w:type="spellEnd"/>
            <w:r w:rsidR="00E00AF8">
              <w:rPr>
                <w:sz w:val="18"/>
                <w:szCs w:val="18"/>
              </w:rPr>
              <w:t xml:space="preserve"> and is a potential alternative to steroid injections. </w:t>
            </w:r>
          </w:p>
          <w:p w14:paraId="3C1A49E5" w14:textId="4EA74EDA" w:rsidR="00DB05E9" w:rsidRDefault="00DB05E9" w:rsidP="002F16E1">
            <w:pPr>
              <w:spacing w:before="120" w:after="120"/>
              <w:rPr>
                <w:sz w:val="18"/>
                <w:szCs w:val="18"/>
              </w:rPr>
            </w:pPr>
            <w:r>
              <w:rPr>
                <w:sz w:val="18"/>
                <w:szCs w:val="18"/>
              </w:rPr>
              <w:t xml:space="preserve">The review of the study by </w:t>
            </w:r>
            <w:proofErr w:type="spellStart"/>
            <w:r>
              <w:rPr>
                <w:sz w:val="18"/>
                <w:szCs w:val="18"/>
              </w:rPr>
              <w:t>DaCruz</w:t>
            </w:r>
            <w:proofErr w:type="spellEnd"/>
            <w:r>
              <w:rPr>
                <w:sz w:val="18"/>
                <w:szCs w:val="18"/>
              </w:rPr>
              <w:t xml:space="preserve"> et al indicates that</w:t>
            </w:r>
            <w:r w:rsidR="008E4268">
              <w:rPr>
                <w:sz w:val="18"/>
                <w:szCs w:val="18"/>
              </w:rPr>
              <w:t xml:space="preserve"> there is minimal benefit in the use of steroid injections for the treatment of Achilles </w:t>
            </w:r>
            <w:proofErr w:type="spellStart"/>
            <w:r w:rsidR="008E4268">
              <w:rPr>
                <w:sz w:val="18"/>
                <w:szCs w:val="18"/>
              </w:rPr>
              <w:t>tendinopathy</w:t>
            </w:r>
            <w:proofErr w:type="spellEnd"/>
            <w:r w:rsidR="008E4268">
              <w:rPr>
                <w:sz w:val="18"/>
                <w:szCs w:val="18"/>
              </w:rPr>
              <w:t xml:space="preserve">. When compared to a placebo, steroid injections showed similar results. The minimal benefits demonstrated in both </w:t>
            </w:r>
            <w:r w:rsidR="00FB0D4B">
              <w:rPr>
                <w:sz w:val="18"/>
                <w:szCs w:val="18"/>
              </w:rPr>
              <w:t>groups were possib</w:t>
            </w:r>
            <w:r w:rsidR="008E4268">
              <w:rPr>
                <w:sz w:val="18"/>
                <w:szCs w:val="18"/>
              </w:rPr>
              <w:t>ly secondary to the physical therapy intervention that both study groups underwent. However, it is important to note that this study failed to report any statistical analyses, standard deviations or p-values, and there was a lack of specific information regarding allocation concealment, between-group patient demographics. Therefore, it is limiting to make any strong conclusions on the effects of steroid injections based on this stud</w:t>
            </w:r>
            <w:r w:rsidR="000E1B0E">
              <w:rPr>
                <w:sz w:val="18"/>
                <w:szCs w:val="18"/>
              </w:rPr>
              <w:t xml:space="preserve">y. Further research of better statistical quality is required to implicate the benefits, or lack thereof of steroid injections in the treatment of a painful Achilles </w:t>
            </w:r>
            <w:proofErr w:type="spellStart"/>
            <w:r w:rsidR="000E1B0E">
              <w:rPr>
                <w:sz w:val="18"/>
                <w:szCs w:val="18"/>
              </w:rPr>
              <w:t>tendinopathy</w:t>
            </w:r>
            <w:proofErr w:type="spellEnd"/>
            <w:r w:rsidR="000E1B0E">
              <w:rPr>
                <w:sz w:val="18"/>
                <w:szCs w:val="18"/>
              </w:rPr>
              <w:t xml:space="preserve">. </w:t>
            </w:r>
          </w:p>
          <w:p w14:paraId="01118A80" w14:textId="1AC49E48" w:rsidR="000E1B0E" w:rsidRDefault="00DB05E9" w:rsidP="002F16E1">
            <w:pPr>
              <w:spacing w:before="120" w:after="120"/>
              <w:rPr>
                <w:sz w:val="18"/>
                <w:szCs w:val="18"/>
              </w:rPr>
            </w:pPr>
            <w:r>
              <w:rPr>
                <w:sz w:val="18"/>
                <w:szCs w:val="18"/>
              </w:rPr>
              <w:t xml:space="preserve">Overall, </w:t>
            </w:r>
            <w:r w:rsidR="000E1B0E">
              <w:rPr>
                <w:sz w:val="18"/>
                <w:szCs w:val="18"/>
              </w:rPr>
              <w:t xml:space="preserve">this review indicates that a 12-week eccentric exercise protocol, shock-wave therapy, or a </w:t>
            </w:r>
            <w:r w:rsidR="000F24E9">
              <w:rPr>
                <w:sz w:val="18"/>
                <w:szCs w:val="18"/>
              </w:rPr>
              <w:t>night splint</w:t>
            </w:r>
            <w:r w:rsidR="000E1B0E">
              <w:rPr>
                <w:sz w:val="18"/>
                <w:szCs w:val="18"/>
              </w:rPr>
              <w:t xml:space="preserve"> is likely to demonstrate a better decrease in pain than a steroid injection for patients with non-</w:t>
            </w:r>
            <w:proofErr w:type="spellStart"/>
            <w:r w:rsidR="000E1B0E">
              <w:rPr>
                <w:sz w:val="18"/>
                <w:szCs w:val="18"/>
              </w:rPr>
              <w:t>insertional</w:t>
            </w:r>
            <w:proofErr w:type="spellEnd"/>
            <w:r w:rsidR="000E1B0E">
              <w:rPr>
                <w:sz w:val="18"/>
                <w:szCs w:val="18"/>
              </w:rPr>
              <w:t xml:space="preserve"> Achilles </w:t>
            </w:r>
            <w:proofErr w:type="spellStart"/>
            <w:r w:rsidR="000E1B0E">
              <w:rPr>
                <w:sz w:val="18"/>
                <w:szCs w:val="18"/>
              </w:rPr>
              <w:t>tendinopathy</w:t>
            </w:r>
            <w:proofErr w:type="spellEnd"/>
            <w:r w:rsidR="000E1B0E">
              <w:rPr>
                <w:sz w:val="18"/>
                <w:szCs w:val="18"/>
              </w:rPr>
              <w:t xml:space="preserve">. The eccentric exercise protocol and </w:t>
            </w:r>
            <w:proofErr w:type="gramStart"/>
            <w:r w:rsidR="000E1B0E">
              <w:rPr>
                <w:sz w:val="18"/>
                <w:szCs w:val="18"/>
              </w:rPr>
              <w:t>shock-wave</w:t>
            </w:r>
            <w:proofErr w:type="gramEnd"/>
            <w:r w:rsidR="000E1B0E">
              <w:rPr>
                <w:sz w:val="18"/>
                <w:szCs w:val="18"/>
              </w:rPr>
              <w:t xml:space="preserve"> therapy interventions appeared to demonstrate the greatest improvements in pain. </w:t>
            </w:r>
            <w:r w:rsidR="00C54A85">
              <w:rPr>
                <w:sz w:val="18"/>
                <w:szCs w:val="18"/>
              </w:rPr>
              <w:t xml:space="preserve">Considering the confines of this PICO question to eccentric exercises, training therapists on a basic eccentric exercise protocol would be very cost efficient, if not free. It would be easy to assume that all therapists know how to devise an eccentric exercise protocol for a patient with Achilles </w:t>
            </w:r>
            <w:proofErr w:type="spellStart"/>
            <w:r w:rsidR="00C54A85">
              <w:rPr>
                <w:sz w:val="18"/>
                <w:szCs w:val="18"/>
              </w:rPr>
              <w:t>tendinopathy</w:t>
            </w:r>
            <w:proofErr w:type="spellEnd"/>
            <w:r w:rsidR="00C54A85">
              <w:rPr>
                <w:sz w:val="18"/>
                <w:szCs w:val="18"/>
              </w:rPr>
              <w:t xml:space="preserve">, but if not they may consider asking a co-worker, or hope that I am doing my next rotation there so they can listen to my in-service. It is important that practicing orthopaedic clinicians and current students understand how to perform these exercises so they can prescribe them to patients requiring them. The cost of this treatment for a patient would be no more than what is charged for therapeutic exercise. </w:t>
            </w:r>
            <w:r w:rsidR="00104C19">
              <w:rPr>
                <w:sz w:val="18"/>
                <w:szCs w:val="18"/>
              </w:rPr>
              <w:lastRenderedPageBreak/>
              <w:t xml:space="preserve">Based on my clinical experience, similar eccentric exercise protocols are currently used in </w:t>
            </w:r>
            <w:r w:rsidR="000F24E9">
              <w:rPr>
                <w:sz w:val="18"/>
                <w:szCs w:val="18"/>
              </w:rPr>
              <w:t>practice.</w:t>
            </w:r>
          </w:p>
          <w:p w14:paraId="078BBD94" w14:textId="1C362F7F" w:rsidR="00DB05E9" w:rsidRPr="007D35DE" w:rsidRDefault="000E1B0E" w:rsidP="002F16E1">
            <w:pPr>
              <w:spacing w:before="120" w:after="120"/>
              <w:rPr>
                <w:sz w:val="18"/>
                <w:szCs w:val="18"/>
              </w:rPr>
            </w:pPr>
            <w:r>
              <w:rPr>
                <w:sz w:val="18"/>
                <w:szCs w:val="18"/>
              </w:rPr>
              <w:t>T</w:t>
            </w:r>
            <w:r w:rsidR="0093325D">
              <w:rPr>
                <w:sz w:val="18"/>
                <w:szCs w:val="18"/>
              </w:rPr>
              <w:t xml:space="preserve">here is a lack in methodological quality of all three studies. </w:t>
            </w:r>
            <w:r>
              <w:rPr>
                <w:sz w:val="18"/>
                <w:szCs w:val="18"/>
              </w:rPr>
              <w:t>As with m</w:t>
            </w:r>
            <w:r w:rsidR="0059303A">
              <w:rPr>
                <w:sz w:val="18"/>
                <w:szCs w:val="18"/>
              </w:rPr>
              <w:t xml:space="preserve">ost research studying physical therapy interventions, it will be impossible to blind subjects and therapists on the eccentric exercise interventions </w:t>
            </w:r>
            <w:r w:rsidR="00624414">
              <w:rPr>
                <w:sz w:val="18"/>
                <w:szCs w:val="18"/>
              </w:rPr>
              <w:t>that the patients</w:t>
            </w:r>
            <w:r w:rsidR="0059303A">
              <w:rPr>
                <w:sz w:val="18"/>
                <w:szCs w:val="18"/>
              </w:rPr>
              <w:t xml:space="preserve"> receive. Therefore, future studies will always show a lack in methodology. This presents the importance of </w:t>
            </w:r>
            <w:r w:rsidR="00624414">
              <w:rPr>
                <w:sz w:val="18"/>
                <w:szCs w:val="18"/>
              </w:rPr>
              <w:t xml:space="preserve">future studies needing to be sound on all other aspects of methodology, such as detailed information on interventions, adequate sample size, and statistical analyses, to name a few. Furthermore, there is a dearth of literature supporting or opposing steroid injections in the reduction of pain in those with Achilles </w:t>
            </w:r>
            <w:proofErr w:type="spellStart"/>
            <w:r w:rsidR="00624414">
              <w:rPr>
                <w:sz w:val="18"/>
                <w:szCs w:val="18"/>
              </w:rPr>
              <w:t>tendinopathy</w:t>
            </w:r>
            <w:proofErr w:type="spellEnd"/>
            <w:r w:rsidR="00624414">
              <w:rPr>
                <w:sz w:val="18"/>
                <w:szCs w:val="18"/>
              </w:rPr>
              <w:t xml:space="preserve">. It would be optimal for future studies to exhibit quality evidence on this topic, but at this point in time, any literature would be helpful. </w:t>
            </w:r>
          </w:p>
          <w:p w14:paraId="0527D704" w14:textId="77777777" w:rsidR="00E609EF" w:rsidRPr="007D35DE" w:rsidRDefault="00E609EF" w:rsidP="002F16E1">
            <w:pPr>
              <w:spacing w:before="120" w:after="120"/>
              <w:rPr>
                <w:sz w:val="18"/>
                <w:szCs w:val="18"/>
              </w:rPr>
            </w:pPr>
          </w:p>
        </w:tc>
      </w:tr>
    </w:tbl>
    <w:p w14:paraId="0F89B903" w14:textId="77777777" w:rsidR="009E380F" w:rsidRDefault="009E380F" w:rsidP="001E1518">
      <w:pPr>
        <w:spacing w:before="120"/>
        <w:rPr>
          <w:b/>
          <w:sz w:val="18"/>
          <w:szCs w:val="18"/>
        </w:rPr>
      </w:pPr>
    </w:p>
    <w:p w14:paraId="318B665B"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BE288B9"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2B5C9A77" w14:textId="77777777" w:rsidTr="002F16E1">
        <w:tc>
          <w:tcPr>
            <w:tcW w:w="10421" w:type="dxa"/>
            <w:shd w:val="clear" w:color="auto" w:fill="auto"/>
          </w:tcPr>
          <w:p w14:paraId="4CA40EFA" w14:textId="2DCBB1FA" w:rsidR="001E1518" w:rsidRPr="00944192" w:rsidRDefault="00944192" w:rsidP="00944192">
            <w:pPr>
              <w:pStyle w:val="ListParagraph"/>
              <w:numPr>
                <w:ilvl w:val="0"/>
                <w:numId w:val="13"/>
              </w:numPr>
              <w:spacing w:before="120" w:after="120"/>
              <w:rPr>
                <w:sz w:val="18"/>
                <w:szCs w:val="18"/>
              </w:rPr>
            </w:pPr>
            <w:proofErr w:type="spellStart"/>
            <w:r w:rsidRPr="00944192">
              <w:rPr>
                <w:sz w:val="18"/>
                <w:szCs w:val="18"/>
              </w:rPr>
              <w:t>Rompe</w:t>
            </w:r>
            <w:proofErr w:type="spellEnd"/>
            <w:r w:rsidRPr="00944192">
              <w:rPr>
                <w:sz w:val="18"/>
                <w:szCs w:val="18"/>
              </w:rPr>
              <w:t xml:space="preserve"> JD, </w:t>
            </w:r>
            <w:proofErr w:type="spellStart"/>
            <w:r w:rsidRPr="00944192">
              <w:rPr>
                <w:sz w:val="18"/>
                <w:szCs w:val="18"/>
              </w:rPr>
              <w:t>Nafe</w:t>
            </w:r>
            <w:proofErr w:type="spellEnd"/>
            <w:r w:rsidRPr="00944192">
              <w:rPr>
                <w:sz w:val="18"/>
                <w:szCs w:val="18"/>
              </w:rPr>
              <w:t xml:space="preserve"> B, </w:t>
            </w:r>
            <w:proofErr w:type="spellStart"/>
            <w:r w:rsidRPr="00944192">
              <w:rPr>
                <w:sz w:val="18"/>
                <w:szCs w:val="18"/>
              </w:rPr>
              <w:t>Furia</w:t>
            </w:r>
            <w:proofErr w:type="spellEnd"/>
            <w:r w:rsidRPr="00944192">
              <w:rPr>
                <w:sz w:val="18"/>
                <w:szCs w:val="18"/>
              </w:rPr>
              <w:t xml:space="preserve"> JP</w:t>
            </w:r>
            <w:r>
              <w:rPr>
                <w:sz w:val="18"/>
                <w:szCs w:val="18"/>
              </w:rPr>
              <w:t>, et al</w:t>
            </w:r>
            <w:r w:rsidRPr="00944192">
              <w:rPr>
                <w:sz w:val="18"/>
                <w:szCs w:val="18"/>
              </w:rPr>
              <w:t xml:space="preserve">. Eccentric loading, shock-wave treatment, or a wait-and-see policy for </w:t>
            </w:r>
            <w:proofErr w:type="spellStart"/>
            <w:r w:rsidRPr="00944192">
              <w:rPr>
                <w:sz w:val="18"/>
                <w:szCs w:val="18"/>
              </w:rPr>
              <w:t>tendinopathy</w:t>
            </w:r>
            <w:proofErr w:type="spellEnd"/>
            <w:r w:rsidRPr="00944192">
              <w:rPr>
                <w:sz w:val="18"/>
                <w:szCs w:val="18"/>
              </w:rPr>
              <w:t xml:space="preserve"> of the main body of </w:t>
            </w:r>
            <w:proofErr w:type="spellStart"/>
            <w:r w:rsidRPr="00944192">
              <w:rPr>
                <w:sz w:val="18"/>
                <w:szCs w:val="18"/>
              </w:rPr>
              <w:t>tendo</w:t>
            </w:r>
            <w:proofErr w:type="spellEnd"/>
            <w:r w:rsidRPr="00944192">
              <w:rPr>
                <w:sz w:val="18"/>
                <w:szCs w:val="18"/>
              </w:rPr>
              <w:t xml:space="preserve"> </w:t>
            </w:r>
            <w:proofErr w:type="spellStart"/>
            <w:r w:rsidRPr="00944192">
              <w:rPr>
                <w:sz w:val="18"/>
                <w:szCs w:val="18"/>
              </w:rPr>
              <w:t>Achillis</w:t>
            </w:r>
            <w:proofErr w:type="spellEnd"/>
            <w:r w:rsidRPr="00944192">
              <w:rPr>
                <w:sz w:val="18"/>
                <w:szCs w:val="18"/>
              </w:rPr>
              <w:t xml:space="preserve">. </w:t>
            </w:r>
            <w:r w:rsidRPr="00944192">
              <w:rPr>
                <w:i/>
                <w:sz w:val="18"/>
                <w:szCs w:val="18"/>
              </w:rPr>
              <w:t xml:space="preserve">The American Journal of Sports Medicine. </w:t>
            </w:r>
            <w:r w:rsidRPr="00944192">
              <w:rPr>
                <w:sz w:val="18"/>
                <w:szCs w:val="18"/>
              </w:rPr>
              <w:t>2007</w:t>
            </w:r>
            <w:proofErr w:type="gramStart"/>
            <w:r w:rsidRPr="00944192">
              <w:rPr>
                <w:sz w:val="18"/>
                <w:szCs w:val="18"/>
              </w:rPr>
              <w:t>;35</w:t>
            </w:r>
            <w:proofErr w:type="gramEnd"/>
            <w:r w:rsidRPr="00944192">
              <w:rPr>
                <w:sz w:val="18"/>
                <w:szCs w:val="18"/>
              </w:rPr>
              <w:t>(3):374-83.</w:t>
            </w:r>
          </w:p>
          <w:p w14:paraId="4CDF6AA1" w14:textId="77777777" w:rsidR="00944192" w:rsidRDefault="00944192" w:rsidP="00944192">
            <w:pPr>
              <w:pStyle w:val="ListParagraph"/>
              <w:numPr>
                <w:ilvl w:val="0"/>
                <w:numId w:val="13"/>
              </w:numPr>
              <w:spacing w:before="120" w:after="120"/>
              <w:rPr>
                <w:sz w:val="18"/>
                <w:szCs w:val="18"/>
              </w:rPr>
            </w:pPr>
            <w:proofErr w:type="spellStart"/>
            <w:r>
              <w:rPr>
                <w:sz w:val="18"/>
                <w:szCs w:val="18"/>
              </w:rPr>
              <w:t>Roos</w:t>
            </w:r>
            <w:proofErr w:type="spellEnd"/>
            <w:r>
              <w:rPr>
                <w:sz w:val="18"/>
                <w:szCs w:val="18"/>
              </w:rPr>
              <w:t xml:space="preserve"> EM, </w:t>
            </w:r>
            <w:proofErr w:type="spellStart"/>
            <w:r>
              <w:rPr>
                <w:sz w:val="18"/>
                <w:szCs w:val="18"/>
              </w:rPr>
              <w:t>Engstrom</w:t>
            </w:r>
            <w:proofErr w:type="spellEnd"/>
            <w:r>
              <w:rPr>
                <w:sz w:val="18"/>
                <w:szCs w:val="18"/>
              </w:rPr>
              <w:t xml:space="preserve"> M, </w:t>
            </w:r>
            <w:proofErr w:type="spellStart"/>
            <w:r>
              <w:rPr>
                <w:sz w:val="18"/>
                <w:szCs w:val="18"/>
              </w:rPr>
              <w:t>Lagerquist</w:t>
            </w:r>
            <w:proofErr w:type="spellEnd"/>
            <w:r>
              <w:rPr>
                <w:sz w:val="18"/>
                <w:szCs w:val="18"/>
              </w:rPr>
              <w:t xml:space="preserve"> A, et al. Clinical improvement after 6 weeks of eccentric exercise in patients with mid-portion Achilles </w:t>
            </w:r>
            <w:proofErr w:type="spellStart"/>
            <w:r>
              <w:rPr>
                <w:sz w:val="18"/>
                <w:szCs w:val="18"/>
              </w:rPr>
              <w:t>tendinopathy</w:t>
            </w:r>
            <w:proofErr w:type="spellEnd"/>
            <w:r>
              <w:rPr>
                <w:sz w:val="18"/>
                <w:szCs w:val="18"/>
              </w:rPr>
              <w:t xml:space="preserve"> – a randomized trial with 1-year follow-up. </w:t>
            </w:r>
            <w:proofErr w:type="spellStart"/>
            <w:r>
              <w:rPr>
                <w:i/>
                <w:sz w:val="18"/>
                <w:szCs w:val="18"/>
              </w:rPr>
              <w:t>Scand</w:t>
            </w:r>
            <w:proofErr w:type="spellEnd"/>
            <w:r>
              <w:rPr>
                <w:i/>
                <w:sz w:val="18"/>
                <w:szCs w:val="18"/>
              </w:rPr>
              <w:t xml:space="preserve"> J Med </w:t>
            </w:r>
            <w:proofErr w:type="spellStart"/>
            <w:r>
              <w:rPr>
                <w:i/>
                <w:sz w:val="18"/>
                <w:szCs w:val="18"/>
              </w:rPr>
              <w:t>Sci</w:t>
            </w:r>
            <w:proofErr w:type="spellEnd"/>
            <w:r>
              <w:rPr>
                <w:i/>
                <w:sz w:val="18"/>
                <w:szCs w:val="18"/>
              </w:rPr>
              <w:t xml:space="preserve"> Sports. </w:t>
            </w:r>
            <w:r>
              <w:rPr>
                <w:sz w:val="18"/>
                <w:szCs w:val="18"/>
              </w:rPr>
              <w:t>2004</w:t>
            </w:r>
            <w:proofErr w:type="gramStart"/>
            <w:r>
              <w:rPr>
                <w:sz w:val="18"/>
                <w:szCs w:val="18"/>
              </w:rPr>
              <w:t>;14:286</w:t>
            </w:r>
            <w:proofErr w:type="gramEnd"/>
            <w:r>
              <w:rPr>
                <w:sz w:val="18"/>
                <w:szCs w:val="18"/>
              </w:rPr>
              <w:t>-95.</w:t>
            </w:r>
          </w:p>
          <w:p w14:paraId="320A8C37" w14:textId="77777777" w:rsidR="00944192" w:rsidRDefault="00944192" w:rsidP="00944192">
            <w:pPr>
              <w:pStyle w:val="ListParagraph"/>
              <w:numPr>
                <w:ilvl w:val="0"/>
                <w:numId w:val="13"/>
              </w:numPr>
              <w:spacing w:before="120" w:after="120"/>
              <w:rPr>
                <w:sz w:val="18"/>
                <w:szCs w:val="18"/>
              </w:rPr>
            </w:pPr>
            <w:proofErr w:type="spellStart"/>
            <w:r>
              <w:rPr>
                <w:sz w:val="18"/>
                <w:szCs w:val="18"/>
              </w:rPr>
              <w:t>DaCruz</w:t>
            </w:r>
            <w:proofErr w:type="spellEnd"/>
            <w:r>
              <w:rPr>
                <w:sz w:val="18"/>
                <w:szCs w:val="18"/>
              </w:rPr>
              <w:t xml:space="preserve"> DJ, </w:t>
            </w:r>
            <w:proofErr w:type="spellStart"/>
            <w:r>
              <w:rPr>
                <w:sz w:val="18"/>
                <w:szCs w:val="18"/>
              </w:rPr>
              <w:t>Geeson</w:t>
            </w:r>
            <w:proofErr w:type="spellEnd"/>
            <w:r>
              <w:rPr>
                <w:sz w:val="18"/>
                <w:szCs w:val="18"/>
              </w:rPr>
              <w:t xml:space="preserve"> M, </w:t>
            </w:r>
            <w:proofErr w:type="gramStart"/>
            <w:r>
              <w:rPr>
                <w:sz w:val="18"/>
                <w:szCs w:val="18"/>
              </w:rPr>
              <w:t>Allen</w:t>
            </w:r>
            <w:proofErr w:type="gramEnd"/>
            <w:r>
              <w:rPr>
                <w:sz w:val="18"/>
                <w:szCs w:val="18"/>
              </w:rPr>
              <w:t xml:space="preserve"> MJ, et al. Achilles </w:t>
            </w:r>
            <w:proofErr w:type="spellStart"/>
            <w:r>
              <w:rPr>
                <w:sz w:val="18"/>
                <w:szCs w:val="18"/>
              </w:rPr>
              <w:t>paratendonitis</w:t>
            </w:r>
            <w:proofErr w:type="spellEnd"/>
            <w:r>
              <w:rPr>
                <w:sz w:val="18"/>
                <w:szCs w:val="18"/>
              </w:rPr>
              <w:t xml:space="preserve">: an evaluation of steroid injection. </w:t>
            </w:r>
            <w:r>
              <w:rPr>
                <w:i/>
                <w:sz w:val="18"/>
                <w:szCs w:val="18"/>
              </w:rPr>
              <w:t xml:space="preserve">Brit J Sports Med. </w:t>
            </w:r>
            <w:r>
              <w:rPr>
                <w:sz w:val="18"/>
                <w:szCs w:val="18"/>
              </w:rPr>
              <w:t>1988</w:t>
            </w:r>
            <w:proofErr w:type="gramStart"/>
            <w:r>
              <w:rPr>
                <w:sz w:val="18"/>
                <w:szCs w:val="18"/>
              </w:rPr>
              <w:t>;22</w:t>
            </w:r>
            <w:proofErr w:type="gramEnd"/>
            <w:r>
              <w:rPr>
                <w:sz w:val="18"/>
                <w:szCs w:val="18"/>
              </w:rPr>
              <w:t>(2):64-5</w:t>
            </w:r>
          </w:p>
          <w:p w14:paraId="59B1D8C5" w14:textId="77777777" w:rsidR="00E319C1" w:rsidRDefault="00E319C1" w:rsidP="00944192">
            <w:pPr>
              <w:pStyle w:val="ListParagraph"/>
              <w:numPr>
                <w:ilvl w:val="0"/>
                <w:numId w:val="13"/>
              </w:numPr>
              <w:spacing w:before="120" w:after="120"/>
              <w:rPr>
                <w:sz w:val="18"/>
                <w:szCs w:val="18"/>
              </w:rPr>
            </w:pPr>
            <w:r>
              <w:rPr>
                <w:sz w:val="18"/>
                <w:szCs w:val="18"/>
              </w:rPr>
              <w:t xml:space="preserve">Khan KM, Cook JL, </w:t>
            </w:r>
            <w:proofErr w:type="spellStart"/>
            <w:r>
              <w:rPr>
                <w:sz w:val="18"/>
                <w:szCs w:val="18"/>
              </w:rPr>
              <w:t>Kannus</w:t>
            </w:r>
            <w:proofErr w:type="spellEnd"/>
            <w:r>
              <w:rPr>
                <w:sz w:val="18"/>
                <w:szCs w:val="18"/>
              </w:rPr>
              <w:t xml:space="preserve"> P, et al. Time to abandon the “tendinitis” myth. </w:t>
            </w:r>
            <w:r>
              <w:rPr>
                <w:i/>
                <w:sz w:val="18"/>
                <w:szCs w:val="18"/>
              </w:rPr>
              <w:t xml:space="preserve">BMJ. </w:t>
            </w:r>
            <w:r>
              <w:rPr>
                <w:sz w:val="18"/>
                <w:szCs w:val="18"/>
              </w:rPr>
              <w:t>2002</w:t>
            </w:r>
            <w:proofErr w:type="gramStart"/>
            <w:r>
              <w:rPr>
                <w:sz w:val="18"/>
                <w:szCs w:val="18"/>
              </w:rPr>
              <w:t>;324:626</w:t>
            </w:r>
            <w:proofErr w:type="gramEnd"/>
            <w:r>
              <w:rPr>
                <w:sz w:val="18"/>
                <w:szCs w:val="18"/>
              </w:rPr>
              <w:t>-7.</w:t>
            </w:r>
          </w:p>
          <w:p w14:paraId="5DB4B9E1" w14:textId="687BD726" w:rsidR="00D410D9" w:rsidRDefault="00D410D9" w:rsidP="00944192">
            <w:pPr>
              <w:pStyle w:val="ListParagraph"/>
              <w:numPr>
                <w:ilvl w:val="0"/>
                <w:numId w:val="13"/>
              </w:numPr>
              <w:spacing w:before="120" w:after="120"/>
              <w:rPr>
                <w:sz w:val="18"/>
                <w:szCs w:val="18"/>
              </w:rPr>
            </w:pPr>
            <w:r>
              <w:rPr>
                <w:sz w:val="18"/>
                <w:szCs w:val="18"/>
              </w:rPr>
              <w:t xml:space="preserve">Speed CA. Corticosteroid injections in tendon lesions. </w:t>
            </w:r>
            <w:r>
              <w:rPr>
                <w:i/>
                <w:sz w:val="18"/>
                <w:szCs w:val="18"/>
              </w:rPr>
              <w:t>BMJ.</w:t>
            </w:r>
            <w:r>
              <w:rPr>
                <w:sz w:val="18"/>
                <w:szCs w:val="18"/>
              </w:rPr>
              <w:t xml:space="preserve"> </w:t>
            </w:r>
            <w:r w:rsidR="00EC4178">
              <w:rPr>
                <w:sz w:val="18"/>
                <w:szCs w:val="18"/>
              </w:rPr>
              <w:t>2001</w:t>
            </w:r>
            <w:proofErr w:type="gramStart"/>
            <w:r w:rsidR="00EC4178">
              <w:rPr>
                <w:sz w:val="18"/>
                <w:szCs w:val="18"/>
              </w:rPr>
              <w:t>;323:382</w:t>
            </w:r>
            <w:proofErr w:type="gramEnd"/>
            <w:r w:rsidR="00EC4178">
              <w:rPr>
                <w:sz w:val="18"/>
                <w:szCs w:val="18"/>
              </w:rPr>
              <w:t>-6.</w:t>
            </w:r>
          </w:p>
          <w:p w14:paraId="2C169888" w14:textId="6084378A" w:rsidR="00C30B21" w:rsidRDefault="00C30B21" w:rsidP="00944192">
            <w:pPr>
              <w:pStyle w:val="ListParagraph"/>
              <w:numPr>
                <w:ilvl w:val="0"/>
                <w:numId w:val="13"/>
              </w:numPr>
              <w:spacing w:before="120" w:after="120"/>
              <w:rPr>
                <w:sz w:val="18"/>
                <w:szCs w:val="18"/>
              </w:rPr>
            </w:pPr>
            <w:proofErr w:type="spellStart"/>
            <w:r>
              <w:rPr>
                <w:sz w:val="18"/>
                <w:szCs w:val="18"/>
              </w:rPr>
              <w:t>Roos</w:t>
            </w:r>
            <w:proofErr w:type="spellEnd"/>
            <w:r>
              <w:rPr>
                <w:sz w:val="18"/>
                <w:szCs w:val="18"/>
              </w:rPr>
              <w:t xml:space="preserve"> EM, </w:t>
            </w:r>
            <w:proofErr w:type="spellStart"/>
            <w:r>
              <w:rPr>
                <w:sz w:val="18"/>
                <w:szCs w:val="18"/>
              </w:rPr>
              <w:t>Brandsson</w:t>
            </w:r>
            <w:proofErr w:type="spellEnd"/>
            <w:r>
              <w:rPr>
                <w:sz w:val="18"/>
                <w:szCs w:val="18"/>
              </w:rPr>
              <w:t xml:space="preserve"> S, </w:t>
            </w:r>
            <w:proofErr w:type="spellStart"/>
            <w:r>
              <w:rPr>
                <w:sz w:val="18"/>
                <w:szCs w:val="18"/>
              </w:rPr>
              <w:t>Karlsson</w:t>
            </w:r>
            <w:proofErr w:type="spellEnd"/>
            <w:r>
              <w:rPr>
                <w:sz w:val="18"/>
                <w:szCs w:val="18"/>
              </w:rPr>
              <w:t xml:space="preserve"> J. Validation of the foot and ankle outcome score for ankle ligament reconstruction. </w:t>
            </w:r>
            <w:r>
              <w:rPr>
                <w:i/>
                <w:sz w:val="18"/>
                <w:szCs w:val="18"/>
              </w:rPr>
              <w:t>Foot Ankle Int.</w:t>
            </w:r>
            <w:r>
              <w:rPr>
                <w:sz w:val="18"/>
                <w:szCs w:val="18"/>
              </w:rPr>
              <w:t xml:space="preserve"> 2001</w:t>
            </w:r>
            <w:proofErr w:type="gramStart"/>
            <w:r>
              <w:rPr>
                <w:sz w:val="18"/>
                <w:szCs w:val="18"/>
              </w:rPr>
              <w:t>;22:788</w:t>
            </w:r>
            <w:proofErr w:type="gramEnd"/>
            <w:r>
              <w:rPr>
                <w:sz w:val="18"/>
                <w:szCs w:val="18"/>
              </w:rPr>
              <w:t>-94.</w:t>
            </w:r>
          </w:p>
          <w:p w14:paraId="2DD6479D" w14:textId="563E3387" w:rsidR="003D4990" w:rsidRDefault="003D4990" w:rsidP="00944192">
            <w:pPr>
              <w:pStyle w:val="ListParagraph"/>
              <w:numPr>
                <w:ilvl w:val="0"/>
                <w:numId w:val="13"/>
              </w:numPr>
              <w:spacing w:before="120" w:after="120"/>
              <w:rPr>
                <w:sz w:val="18"/>
                <w:szCs w:val="18"/>
              </w:rPr>
            </w:pPr>
            <w:proofErr w:type="spellStart"/>
            <w:r>
              <w:rPr>
                <w:sz w:val="18"/>
                <w:szCs w:val="18"/>
              </w:rPr>
              <w:t>Roos</w:t>
            </w:r>
            <w:proofErr w:type="spellEnd"/>
            <w:r>
              <w:rPr>
                <w:sz w:val="18"/>
                <w:szCs w:val="18"/>
              </w:rPr>
              <w:t xml:space="preserve"> EM, </w:t>
            </w:r>
            <w:proofErr w:type="spellStart"/>
            <w:r>
              <w:rPr>
                <w:sz w:val="18"/>
                <w:szCs w:val="18"/>
              </w:rPr>
              <w:t>Lohmander</w:t>
            </w:r>
            <w:proofErr w:type="spellEnd"/>
            <w:r>
              <w:rPr>
                <w:sz w:val="18"/>
                <w:szCs w:val="18"/>
              </w:rPr>
              <w:t xml:space="preserve"> LS. Knee injury and osteoarthritis outcome score (KOOS): from joint injury to osteoarthritis. </w:t>
            </w:r>
            <w:r>
              <w:rPr>
                <w:i/>
                <w:sz w:val="18"/>
                <w:szCs w:val="18"/>
              </w:rPr>
              <w:t xml:space="preserve">Health Qual Life Outcomes. </w:t>
            </w:r>
            <w:r>
              <w:rPr>
                <w:sz w:val="18"/>
                <w:szCs w:val="18"/>
              </w:rPr>
              <w:t>2003</w:t>
            </w:r>
            <w:proofErr w:type="gramStart"/>
            <w:r>
              <w:rPr>
                <w:sz w:val="18"/>
                <w:szCs w:val="18"/>
              </w:rPr>
              <w:t>;1:64</w:t>
            </w:r>
            <w:proofErr w:type="gramEnd"/>
            <w:r>
              <w:rPr>
                <w:sz w:val="18"/>
                <w:szCs w:val="18"/>
              </w:rPr>
              <w:t>.</w:t>
            </w:r>
          </w:p>
          <w:p w14:paraId="39810CC6" w14:textId="2ED2C9DF" w:rsidR="00193946" w:rsidRDefault="00193946" w:rsidP="00944192">
            <w:pPr>
              <w:pStyle w:val="ListParagraph"/>
              <w:numPr>
                <w:ilvl w:val="0"/>
                <w:numId w:val="13"/>
              </w:numPr>
              <w:spacing w:before="120" w:after="120"/>
              <w:rPr>
                <w:sz w:val="18"/>
                <w:szCs w:val="18"/>
              </w:rPr>
            </w:pPr>
            <w:proofErr w:type="spellStart"/>
            <w:r>
              <w:rPr>
                <w:sz w:val="18"/>
                <w:szCs w:val="18"/>
              </w:rPr>
              <w:t>Kvist</w:t>
            </w:r>
            <w:proofErr w:type="spellEnd"/>
            <w:r>
              <w:rPr>
                <w:sz w:val="18"/>
                <w:szCs w:val="18"/>
              </w:rPr>
              <w:t xml:space="preserve"> H and </w:t>
            </w:r>
            <w:proofErr w:type="spellStart"/>
            <w:r>
              <w:rPr>
                <w:sz w:val="18"/>
                <w:szCs w:val="18"/>
              </w:rPr>
              <w:t>Kvist</w:t>
            </w:r>
            <w:proofErr w:type="spellEnd"/>
            <w:r>
              <w:rPr>
                <w:sz w:val="18"/>
                <w:szCs w:val="18"/>
              </w:rPr>
              <w:t xml:space="preserve"> M. The operative treatment of chronic calcaneal </w:t>
            </w:r>
            <w:proofErr w:type="spellStart"/>
            <w:r>
              <w:rPr>
                <w:sz w:val="18"/>
                <w:szCs w:val="18"/>
              </w:rPr>
              <w:t>paratendonitis</w:t>
            </w:r>
            <w:proofErr w:type="spellEnd"/>
            <w:r>
              <w:rPr>
                <w:sz w:val="18"/>
                <w:szCs w:val="18"/>
              </w:rPr>
              <w:t xml:space="preserve">. </w:t>
            </w:r>
            <w:r>
              <w:rPr>
                <w:i/>
                <w:sz w:val="18"/>
                <w:szCs w:val="18"/>
              </w:rPr>
              <w:t xml:space="preserve">Journal of Bone and Joint Surgery. </w:t>
            </w:r>
            <w:r>
              <w:rPr>
                <w:sz w:val="18"/>
                <w:szCs w:val="18"/>
              </w:rPr>
              <w:t>1980</w:t>
            </w:r>
            <w:proofErr w:type="gramStart"/>
            <w:r>
              <w:rPr>
                <w:sz w:val="18"/>
                <w:szCs w:val="18"/>
              </w:rPr>
              <w:t>;62B</w:t>
            </w:r>
            <w:proofErr w:type="gramEnd"/>
            <w:r>
              <w:rPr>
                <w:sz w:val="18"/>
                <w:szCs w:val="18"/>
              </w:rPr>
              <w:t>(3):353-7.</w:t>
            </w:r>
          </w:p>
          <w:p w14:paraId="67972DFA" w14:textId="49DB2987" w:rsidR="00193946" w:rsidRPr="00C5671D" w:rsidRDefault="00193946" w:rsidP="00944192">
            <w:pPr>
              <w:pStyle w:val="ListParagraph"/>
              <w:numPr>
                <w:ilvl w:val="0"/>
                <w:numId w:val="13"/>
              </w:numPr>
              <w:spacing w:before="120" w:after="120"/>
              <w:rPr>
                <w:sz w:val="18"/>
                <w:szCs w:val="18"/>
              </w:rPr>
            </w:pPr>
            <w:r>
              <w:rPr>
                <w:sz w:val="18"/>
                <w:szCs w:val="18"/>
              </w:rPr>
              <w:t xml:space="preserve">Clancy WG, </w:t>
            </w:r>
            <w:proofErr w:type="spellStart"/>
            <w:r>
              <w:rPr>
                <w:sz w:val="18"/>
                <w:szCs w:val="18"/>
              </w:rPr>
              <w:t>Neidhart</w:t>
            </w:r>
            <w:proofErr w:type="spellEnd"/>
            <w:r>
              <w:rPr>
                <w:sz w:val="18"/>
                <w:szCs w:val="18"/>
              </w:rPr>
              <w:t xml:space="preserve"> D, Brand RL. Achilles tendonitis in runners. </w:t>
            </w:r>
            <w:r>
              <w:rPr>
                <w:i/>
                <w:sz w:val="18"/>
                <w:szCs w:val="18"/>
              </w:rPr>
              <w:t>American Journal of Sports Medicine.</w:t>
            </w:r>
            <w:r w:rsidR="00153639">
              <w:rPr>
                <w:i/>
                <w:sz w:val="18"/>
                <w:szCs w:val="18"/>
              </w:rPr>
              <w:t xml:space="preserve"> </w:t>
            </w:r>
            <w:r w:rsidR="00153639">
              <w:rPr>
                <w:sz w:val="18"/>
                <w:szCs w:val="18"/>
              </w:rPr>
              <w:t>1976</w:t>
            </w:r>
            <w:proofErr w:type="gramStart"/>
            <w:r w:rsidR="00153639">
              <w:rPr>
                <w:sz w:val="18"/>
                <w:szCs w:val="18"/>
              </w:rPr>
              <w:t>;4</w:t>
            </w:r>
            <w:proofErr w:type="gramEnd"/>
            <w:r w:rsidR="00153639">
              <w:rPr>
                <w:sz w:val="18"/>
                <w:szCs w:val="18"/>
              </w:rPr>
              <w:t>(2):46-57.</w:t>
            </w:r>
            <w:r>
              <w:rPr>
                <w:i/>
                <w:sz w:val="18"/>
                <w:szCs w:val="18"/>
              </w:rPr>
              <w:t xml:space="preserve"> </w:t>
            </w:r>
          </w:p>
          <w:p w14:paraId="79DC4564" w14:textId="3137DC63" w:rsidR="00C5671D" w:rsidRPr="00944192" w:rsidRDefault="00C5671D" w:rsidP="00944192">
            <w:pPr>
              <w:pStyle w:val="ListParagraph"/>
              <w:numPr>
                <w:ilvl w:val="0"/>
                <w:numId w:val="13"/>
              </w:numPr>
              <w:spacing w:before="120" w:after="120"/>
              <w:rPr>
                <w:sz w:val="18"/>
                <w:szCs w:val="18"/>
              </w:rPr>
            </w:pPr>
            <w:proofErr w:type="spellStart"/>
            <w:r>
              <w:rPr>
                <w:sz w:val="18"/>
                <w:szCs w:val="18"/>
              </w:rPr>
              <w:t>Fredberg</w:t>
            </w:r>
            <w:proofErr w:type="spellEnd"/>
            <w:r>
              <w:rPr>
                <w:sz w:val="18"/>
                <w:szCs w:val="18"/>
              </w:rPr>
              <w:t xml:space="preserve"> U, </w:t>
            </w:r>
            <w:proofErr w:type="spellStart"/>
            <w:r>
              <w:rPr>
                <w:sz w:val="18"/>
                <w:szCs w:val="18"/>
              </w:rPr>
              <w:t>Bolvig</w:t>
            </w:r>
            <w:proofErr w:type="spellEnd"/>
            <w:r>
              <w:rPr>
                <w:sz w:val="18"/>
                <w:szCs w:val="18"/>
              </w:rPr>
              <w:t xml:space="preserve"> L, Pfeiffer-Jensen M, et al. Ultrasonography as a tool for diagnosis, guidance of local steroid injection and, together with pressure algometry, monitoring the treatment of athletes with chronic jumper’s knee and Achilles tendonitis: a randomized, double-blind, placebo-controlled study. </w:t>
            </w:r>
            <w:proofErr w:type="spellStart"/>
            <w:r>
              <w:rPr>
                <w:i/>
                <w:sz w:val="18"/>
                <w:szCs w:val="18"/>
              </w:rPr>
              <w:t>Scand</w:t>
            </w:r>
            <w:proofErr w:type="spellEnd"/>
            <w:r>
              <w:rPr>
                <w:i/>
                <w:sz w:val="18"/>
                <w:szCs w:val="18"/>
              </w:rPr>
              <w:t xml:space="preserve"> J </w:t>
            </w:r>
            <w:proofErr w:type="spellStart"/>
            <w:r>
              <w:rPr>
                <w:i/>
                <w:sz w:val="18"/>
                <w:szCs w:val="18"/>
              </w:rPr>
              <w:t>Rheumatol</w:t>
            </w:r>
            <w:proofErr w:type="spellEnd"/>
            <w:r>
              <w:rPr>
                <w:i/>
                <w:sz w:val="18"/>
                <w:szCs w:val="18"/>
              </w:rPr>
              <w:t xml:space="preserve">. </w:t>
            </w:r>
            <w:r>
              <w:rPr>
                <w:sz w:val="18"/>
                <w:szCs w:val="18"/>
              </w:rPr>
              <w:t>2004</w:t>
            </w:r>
            <w:proofErr w:type="gramStart"/>
            <w:r>
              <w:rPr>
                <w:sz w:val="18"/>
                <w:szCs w:val="18"/>
              </w:rPr>
              <w:t>;33</w:t>
            </w:r>
            <w:r w:rsidR="0044332B">
              <w:rPr>
                <w:sz w:val="18"/>
                <w:szCs w:val="18"/>
              </w:rPr>
              <w:t>:94</w:t>
            </w:r>
            <w:proofErr w:type="gramEnd"/>
            <w:r w:rsidR="0044332B">
              <w:rPr>
                <w:sz w:val="18"/>
                <w:szCs w:val="18"/>
              </w:rPr>
              <w:t>-101.</w:t>
            </w:r>
          </w:p>
          <w:p w14:paraId="16D5DFA6" w14:textId="77777777" w:rsidR="001E1518" w:rsidRPr="002F16E1" w:rsidRDefault="001E1518" w:rsidP="002F16E1">
            <w:pPr>
              <w:spacing w:before="120" w:after="120"/>
              <w:rPr>
                <w:sz w:val="18"/>
                <w:szCs w:val="18"/>
              </w:rPr>
            </w:pPr>
          </w:p>
          <w:p w14:paraId="25F1B43B" w14:textId="77777777" w:rsidR="001E1518" w:rsidRPr="002F16E1" w:rsidRDefault="001E1518" w:rsidP="002F16E1">
            <w:pPr>
              <w:spacing w:before="120" w:after="120"/>
              <w:rPr>
                <w:sz w:val="18"/>
                <w:szCs w:val="18"/>
              </w:rPr>
            </w:pPr>
          </w:p>
          <w:p w14:paraId="449BF581" w14:textId="77777777" w:rsidR="001E1518" w:rsidRPr="002F16E1" w:rsidRDefault="001E1518" w:rsidP="002F16E1">
            <w:pPr>
              <w:spacing w:before="120" w:after="120"/>
              <w:rPr>
                <w:sz w:val="18"/>
                <w:szCs w:val="18"/>
              </w:rPr>
            </w:pPr>
          </w:p>
          <w:p w14:paraId="2E2626F0" w14:textId="77777777" w:rsidR="00050375" w:rsidRPr="002F16E1" w:rsidRDefault="00050375" w:rsidP="002F16E1">
            <w:pPr>
              <w:spacing w:before="120" w:after="120"/>
              <w:rPr>
                <w:sz w:val="18"/>
                <w:szCs w:val="18"/>
              </w:rPr>
            </w:pPr>
          </w:p>
          <w:p w14:paraId="08B08D33" w14:textId="77777777" w:rsidR="006E68E0" w:rsidRPr="002F16E1" w:rsidRDefault="006E68E0" w:rsidP="002F16E1">
            <w:pPr>
              <w:spacing w:before="120" w:after="120"/>
              <w:rPr>
                <w:sz w:val="18"/>
                <w:szCs w:val="18"/>
              </w:rPr>
            </w:pPr>
          </w:p>
          <w:p w14:paraId="78257FFE" w14:textId="77777777" w:rsidR="006E68E0" w:rsidRPr="002F16E1" w:rsidRDefault="006E68E0" w:rsidP="002F16E1">
            <w:pPr>
              <w:spacing w:before="120" w:after="120"/>
              <w:rPr>
                <w:sz w:val="18"/>
                <w:szCs w:val="18"/>
              </w:rPr>
            </w:pPr>
          </w:p>
          <w:p w14:paraId="51AC2264" w14:textId="77777777" w:rsidR="006E68E0" w:rsidRPr="002F16E1" w:rsidRDefault="006E68E0" w:rsidP="002F16E1">
            <w:pPr>
              <w:spacing w:before="120" w:after="120"/>
              <w:rPr>
                <w:sz w:val="18"/>
                <w:szCs w:val="18"/>
              </w:rPr>
            </w:pPr>
          </w:p>
          <w:p w14:paraId="53B03E8D" w14:textId="77777777" w:rsidR="001E1518" w:rsidRPr="002F16E1" w:rsidRDefault="001E1518" w:rsidP="002F16E1">
            <w:pPr>
              <w:spacing w:before="120" w:after="120"/>
              <w:rPr>
                <w:sz w:val="18"/>
                <w:szCs w:val="18"/>
              </w:rPr>
            </w:pPr>
          </w:p>
        </w:tc>
      </w:tr>
    </w:tbl>
    <w:p w14:paraId="1A9E88A5"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274"/>
    <w:multiLevelType w:val="hybridMultilevel"/>
    <w:tmpl w:val="3B5EF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6532"/>
    <w:multiLevelType w:val="hybridMultilevel"/>
    <w:tmpl w:val="05F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55C84"/>
    <w:multiLevelType w:val="hybridMultilevel"/>
    <w:tmpl w:val="1AC4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00E1"/>
    <w:multiLevelType w:val="hybridMultilevel"/>
    <w:tmpl w:val="9F8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62524"/>
    <w:multiLevelType w:val="hybridMultilevel"/>
    <w:tmpl w:val="80583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2B45"/>
    <w:multiLevelType w:val="hybridMultilevel"/>
    <w:tmpl w:val="7C6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64BF3"/>
    <w:multiLevelType w:val="hybridMultilevel"/>
    <w:tmpl w:val="D28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EB540A"/>
    <w:multiLevelType w:val="hybridMultilevel"/>
    <w:tmpl w:val="AB0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40807F2"/>
    <w:multiLevelType w:val="hybridMultilevel"/>
    <w:tmpl w:val="1B9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5223F"/>
    <w:multiLevelType w:val="hybridMultilevel"/>
    <w:tmpl w:val="1A5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93519E4"/>
    <w:multiLevelType w:val="hybridMultilevel"/>
    <w:tmpl w:val="C79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D3FB1"/>
    <w:multiLevelType w:val="hybridMultilevel"/>
    <w:tmpl w:val="26B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409EB"/>
    <w:multiLevelType w:val="hybridMultilevel"/>
    <w:tmpl w:val="4EF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C1325"/>
    <w:multiLevelType w:val="hybridMultilevel"/>
    <w:tmpl w:val="D870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9A70293"/>
    <w:multiLevelType w:val="hybridMultilevel"/>
    <w:tmpl w:val="FA0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7B073C"/>
    <w:multiLevelType w:val="hybridMultilevel"/>
    <w:tmpl w:val="C5B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52F83A9B"/>
    <w:multiLevelType w:val="hybridMultilevel"/>
    <w:tmpl w:val="F97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FF03739"/>
    <w:multiLevelType w:val="hybridMultilevel"/>
    <w:tmpl w:val="8832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D04BB"/>
    <w:multiLevelType w:val="hybridMultilevel"/>
    <w:tmpl w:val="67768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6A076879"/>
    <w:multiLevelType w:val="hybridMultilevel"/>
    <w:tmpl w:val="578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6AC7C04"/>
    <w:multiLevelType w:val="hybridMultilevel"/>
    <w:tmpl w:val="FB5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nsid w:val="7FCB565B"/>
    <w:multiLevelType w:val="hybridMultilevel"/>
    <w:tmpl w:val="316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0"/>
  </w:num>
  <w:num w:numId="5">
    <w:abstractNumId w:val="30"/>
  </w:num>
  <w:num w:numId="6">
    <w:abstractNumId w:val="24"/>
  </w:num>
  <w:num w:numId="7">
    <w:abstractNumId w:val="7"/>
  </w:num>
  <w:num w:numId="8">
    <w:abstractNumId w:val="22"/>
  </w:num>
  <w:num w:numId="9">
    <w:abstractNumId w:val="32"/>
  </w:num>
  <w:num w:numId="10">
    <w:abstractNumId w:val="28"/>
  </w:num>
  <w:num w:numId="11">
    <w:abstractNumId w:val="18"/>
  </w:num>
  <w:num w:numId="12">
    <w:abstractNumId w:val="25"/>
  </w:num>
  <w:num w:numId="13">
    <w:abstractNumId w:val="4"/>
  </w:num>
  <w:num w:numId="14">
    <w:abstractNumId w:val="2"/>
  </w:num>
  <w:num w:numId="15">
    <w:abstractNumId w:val="33"/>
  </w:num>
  <w:num w:numId="16">
    <w:abstractNumId w:val="29"/>
  </w:num>
  <w:num w:numId="17">
    <w:abstractNumId w:val="16"/>
  </w:num>
  <w:num w:numId="18">
    <w:abstractNumId w:val="5"/>
  </w:num>
  <w:num w:numId="19">
    <w:abstractNumId w:val="15"/>
  </w:num>
  <w:num w:numId="20">
    <w:abstractNumId w:val="3"/>
  </w:num>
  <w:num w:numId="21">
    <w:abstractNumId w:val="14"/>
  </w:num>
  <w:num w:numId="22">
    <w:abstractNumId w:val="6"/>
  </w:num>
  <w:num w:numId="23">
    <w:abstractNumId w:val="11"/>
  </w:num>
  <w:num w:numId="24">
    <w:abstractNumId w:val="21"/>
  </w:num>
  <w:num w:numId="25">
    <w:abstractNumId w:val="26"/>
  </w:num>
  <w:num w:numId="26">
    <w:abstractNumId w:val="9"/>
  </w:num>
  <w:num w:numId="27">
    <w:abstractNumId w:val="1"/>
  </w:num>
  <w:num w:numId="28">
    <w:abstractNumId w:val="17"/>
  </w:num>
  <w:num w:numId="29">
    <w:abstractNumId w:val="12"/>
  </w:num>
  <w:num w:numId="30">
    <w:abstractNumId w:val="31"/>
  </w:num>
  <w:num w:numId="31">
    <w:abstractNumId w:val="23"/>
  </w:num>
  <w:num w:numId="32">
    <w:abstractNumId w:val="19"/>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50375"/>
    <w:rsid w:val="000503F0"/>
    <w:rsid w:val="000528B2"/>
    <w:rsid w:val="00065734"/>
    <w:rsid w:val="000721FC"/>
    <w:rsid w:val="00076922"/>
    <w:rsid w:val="00077862"/>
    <w:rsid w:val="00082CFF"/>
    <w:rsid w:val="000834FC"/>
    <w:rsid w:val="000839E0"/>
    <w:rsid w:val="00094B7E"/>
    <w:rsid w:val="000A7312"/>
    <w:rsid w:val="000A7D22"/>
    <w:rsid w:val="000B1FB4"/>
    <w:rsid w:val="000B1FF5"/>
    <w:rsid w:val="000B3B7D"/>
    <w:rsid w:val="000B4919"/>
    <w:rsid w:val="000B4BA0"/>
    <w:rsid w:val="000B4C79"/>
    <w:rsid w:val="000C1519"/>
    <w:rsid w:val="000C600B"/>
    <w:rsid w:val="000D40CD"/>
    <w:rsid w:val="000D797C"/>
    <w:rsid w:val="000E1B0E"/>
    <w:rsid w:val="000E2694"/>
    <w:rsid w:val="000F15B9"/>
    <w:rsid w:val="000F24E9"/>
    <w:rsid w:val="000F3690"/>
    <w:rsid w:val="000F4125"/>
    <w:rsid w:val="000F72D2"/>
    <w:rsid w:val="000F7934"/>
    <w:rsid w:val="00101A23"/>
    <w:rsid w:val="00103F7B"/>
    <w:rsid w:val="001042F8"/>
    <w:rsid w:val="00104C19"/>
    <w:rsid w:val="00106645"/>
    <w:rsid w:val="001074B8"/>
    <w:rsid w:val="0011174D"/>
    <w:rsid w:val="0011199B"/>
    <w:rsid w:val="00111BBF"/>
    <w:rsid w:val="00114F16"/>
    <w:rsid w:val="00130520"/>
    <w:rsid w:val="00133195"/>
    <w:rsid w:val="00135649"/>
    <w:rsid w:val="001403EC"/>
    <w:rsid w:val="00142348"/>
    <w:rsid w:val="00145AB2"/>
    <w:rsid w:val="00153639"/>
    <w:rsid w:val="00154ED5"/>
    <w:rsid w:val="00156963"/>
    <w:rsid w:val="00164811"/>
    <w:rsid w:val="001655BA"/>
    <w:rsid w:val="00167202"/>
    <w:rsid w:val="00184206"/>
    <w:rsid w:val="00192877"/>
    <w:rsid w:val="00192961"/>
    <w:rsid w:val="00193946"/>
    <w:rsid w:val="00195041"/>
    <w:rsid w:val="00196026"/>
    <w:rsid w:val="001960D2"/>
    <w:rsid w:val="00196E2A"/>
    <w:rsid w:val="001A1E39"/>
    <w:rsid w:val="001A3A66"/>
    <w:rsid w:val="001A40A0"/>
    <w:rsid w:val="001A6F1D"/>
    <w:rsid w:val="001A7326"/>
    <w:rsid w:val="001B6B9B"/>
    <w:rsid w:val="001C0D9F"/>
    <w:rsid w:val="001C1B71"/>
    <w:rsid w:val="001C5A94"/>
    <w:rsid w:val="001C6341"/>
    <w:rsid w:val="001C6AEF"/>
    <w:rsid w:val="001D165C"/>
    <w:rsid w:val="001D2A0B"/>
    <w:rsid w:val="001D4F60"/>
    <w:rsid w:val="001D5D4E"/>
    <w:rsid w:val="001E1518"/>
    <w:rsid w:val="001E2169"/>
    <w:rsid w:val="001E5719"/>
    <w:rsid w:val="001E67BB"/>
    <w:rsid w:val="001F41BC"/>
    <w:rsid w:val="001F7D9A"/>
    <w:rsid w:val="00201832"/>
    <w:rsid w:val="00201F3F"/>
    <w:rsid w:val="002032B9"/>
    <w:rsid w:val="00205544"/>
    <w:rsid w:val="00206380"/>
    <w:rsid w:val="00206663"/>
    <w:rsid w:val="00215B15"/>
    <w:rsid w:val="00222B72"/>
    <w:rsid w:val="00232DA9"/>
    <w:rsid w:val="0023388F"/>
    <w:rsid w:val="00237E57"/>
    <w:rsid w:val="00240563"/>
    <w:rsid w:val="00241978"/>
    <w:rsid w:val="00251143"/>
    <w:rsid w:val="00255314"/>
    <w:rsid w:val="002558DB"/>
    <w:rsid w:val="00257E09"/>
    <w:rsid w:val="002612AE"/>
    <w:rsid w:val="00265366"/>
    <w:rsid w:val="00271CEF"/>
    <w:rsid w:val="00273CC5"/>
    <w:rsid w:val="00275612"/>
    <w:rsid w:val="00276D67"/>
    <w:rsid w:val="00277BC1"/>
    <w:rsid w:val="0028056F"/>
    <w:rsid w:val="00281077"/>
    <w:rsid w:val="0028187A"/>
    <w:rsid w:val="00282449"/>
    <w:rsid w:val="00286660"/>
    <w:rsid w:val="00293B41"/>
    <w:rsid w:val="0029560F"/>
    <w:rsid w:val="002975D0"/>
    <w:rsid w:val="002977D9"/>
    <w:rsid w:val="002A202E"/>
    <w:rsid w:val="002A687A"/>
    <w:rsid w:val="002A69E0"/>
    <w:rsid w:val="002B4C96"/>
    <w:rsid w:val="002D2D3F"/>
    <w:rsid w:val="002D5C47"/>
    <w:rsid w:val="002D6267"/>
    <w:rsid w:val="002E151C"/>
    <w:rsid w:val="002E3103"/>
    <w:rsid w:val="002E602B"/>
    <w:rsid w:val="002E7816"/>
    <w:rsid w:val="002F16E1"/>
    <w:rsid w:val="002F1B6F"/>
    <w:rsid w:val="002F49C8"/>
    <w:rsid w:val="00300998"/>
    <w:rsid w:val="003023C2"/>
    <w:rsid w:val="00306C83"/>
    <w:rsid w:val="003077A4"/>
    <w:rsid w:val="00311CD1"/>
    <w:rsid w:val="003152FA"/>
    <w:rsid w:val="00316189"/>
    <w:rsid w:val="003203C3"/>
    <w:rsid w:val="003253F9"/>
    <w:rsid w:val="00326281"/>
    <w:rsid w:val="0033330C"/>
    <w:rsid w:val="003475DE"/>
    <w:rsid w:val="00350995"/>
    <w:rsid w:val="003524D8"/>
    <w:rsid w:val="00355000"/>
    <w:rsid w:val="00355D55"/>
    <w:rsid w:val="00356799"/>
    <w:rsid w:val="00363DB3"/>
    <w:rsid w:val="00363FEB"/>
    <w:rsid w:val="00365AA6"/>
    <w:rsid w:val="00371C43"/>
    <w:rsid w:val="00380B69"/>
    <w:rsid w:val="00383E3A"/>
    <w:rsid w:val="0038646C"/>
    <w:rsid w:val="0038771C"/>
    <w:rsid w:val="00394E0E"/>
    <w:rsid w:val="003A0BC3"/>
    <w:rsid w:val="003A6741"/>
    <w:rsid w:val="003B0274"/>
    <w:rsid w:val="003B2324"/>
    <w:rsid w:val="003B40D3"/>
    <w:rsid w:val="003B5030"/>
    <w:rsid w:val="003B5C0D"/>
    <w:rsid w:val="003B7595"/>
    <w:rsid w:val="003C203E"/>
    <w:rsid w:val="003C3F01"/>
    <w:rsid w:val="003C4065"/>
    <w:rsid w:val="003C54B6"/>
    <w:rsid w:val="003D48E0"/>
    <w:rsid w:val="003D4990"/>
    <w:rsid w:val="003D6AC7"/>
    <w:rsid w:val="003E4AF3"/>
    <w:rsid w:val="003E5D0B"/>
    <w:rsid w:val="003F2E81"/>
    <w:rsid w:val="003F32ED"/>
    <w:rsid w:val="004001AB"/>
    <w:rsid w:val="00400AAD"/>
    <w:rsid w:val="00400D14"/>
    <w:rsid w:val="004020B7"/>
    <w:rsid w:val="00402E12"/>
    <w:rsid w:val="00403DDA"/>
    <w:rsid w:val="00407BFD"/>
    <w:rsid w:val="00414860"/>
    <w:rsid w:val="004155E5"/>
    <w:rsid w:val="00415B87"/>
    <w:rsid w:val="004179B2"/>
    <w:rsid w:val="0042604D"/>
    <w:rsid w:val="00430880"/>
    <w:rsid w:val="00431B62"/>
    <w:rsid w:val="00431D6E"/>
    <w:rsid w:val="004341FB"/>
    <w:rsid w:val="00437839"/>
    <w:rsid w:val="0044332B"/>
    <w:rsid w:val="004467A5"/>
    <w:rsid w:val="0045534B"/>
    <w:rsid w:val="0045717A"/>
    <w:rsid w:val="00462451"/>
    <w:rsid w:val="004631B4"/>
    <w:rsid w:val="00466453"/>
    <w:rsid w:val="004664A1"/>
    <w:rsid w:val="0047092A"/>
    <w:rsid w:val="00472923"/>
    <w:rsid w:val="00481CD5"/>
    <w:rsid w:val="00483B4E"/>
    <w:rsid w:val="00490D44"/>
    <w:rsid w:val="004927E7"/>
    <w:rsid w:val="00492B03"/>
    <w:rsid w:val="00496AAE"/>
    <w:rsid w:val="00496D0F"/>
    <w:rsid w:val="00497DB9"/>
    <w:rsid w:val="004A0EE3"/>
    <w:rsid w:val="004A1418"/>
    <w:rsid w:val="004A4CB8"/>
    <w:rsid w:val="004B2ACD"/>
    <w:rsid w:val="004B3CB2"/>
    <w:rsid w:val="004B7D98"/>
    <w:rsid w:val="004C2026"/>
    <w:rsid w:val="004D2674"/>
    <w:rsid w:val="004D4770"/>
    <w:rsid w:val="004E18ED"/>
    <w:rsid w:val="004E285B"/>
    <w:rsid w:val="004E5E95"/>
    <w:rsid w:val="004F05E4"/>
    <w:rsid w:val="004F59CB"/>
    <w:rsid w:val="004F629A"/>
    <w:rsid w:val="004F7128"/>
    <w:rsid w:val="005006DE"/>
    <w:rsid w:val="00503D25"/>
    <w:rsid w:val="005058E0"/>
    <w:rsid w:val="00507EC3"/>
    <w:rsid w:val="00514BDD"/>
    <w:rsid w:val="00516B29"/>
    <w:rsid w:val="005206A8"/>
    <w:rsid w:val="005231A4"/>
    <w:rsid w:val="005263ED"/>
    <w:rsid w:val="00530E5E"/>
    <w:rsid w:val="00531D85"/>
    <w:rsid w:val="00532D7D"/>
    <w:rsid w:val="0053617F"/>
    <w:rsid w:val="00543D14"/>
    <w:rsid w:val="005458B8"/>
    <w:rsid w:val="00551718"/>
    <w:rsid w:val="005528C9"/>
    <w:rsid w:val="00552BD9"/>
    <w:rsid w:val="00554FFC"/>
    <w:rsid w:val="0056084B"/>
    <w:rsid w:val="00560C22"/>
    <w:rsid w:val="00572A4D"/>
    <w:rsid w:val="00573CEB"/>
    <w:rsid w:val="00574922"/>
    <w:rsid w:val="00575708"/>
    <w:rsid w:val="00585DD1"/>
    <w:rsid w:val="00586070"/>
    <w:rsid w:val="0058715F"/>
    <w:rsid w:val="00592E30"/>
    <w:rsid w:val="0059303A"/>
    <w:rsid w:val="00593157"/>
    <w:rsid w:val="00594203"/>
    <w:rsid w:val="00594DDB"/>
    <w:rsid w:val="00597245"/>
    <w:rsid w:val="005A1289"/>
    <w:rsid w:val="005A148C"/>
    <w:rsid w:val="005A3AD4"/>
    <w:rsid w:val="005A40D7"/>
    <w:rsid w:val="005A6C2B"/>
    <w:rsid w:val="005B7AE2"/>
    <w:rsid w:val="005C54CC"/>
    <w:rsid w:val="005F40AF"/>
    <w:rsid w:val="005F4C9C"/>
    <w:rsid w:val="005F736D"/>
    <w:rsid w:val="005F7821"/>
    <w:rsid w:val="00600583"/>
    <w:rsid w:val="00600DC9"/>
    <w:rsid w:val="006021A6"/>
    <w:rsid w:val="00605138"/>
    <w:rsid w:val="00607017"/>
    <w:rsid w:val="0060740C"/>
    <w:rsid w:val="00613C0C"/>
    <w:rsid w:val="00615FD6"/>
    <w:rsid w:val="00622327"/>
    <w:rsid w:val="00624414"/>
    <w:rsid w:val="00624D85"/>
    <w:rsid w:val="00627BCF"/>
    <w:rsid w:val="00630D14"/>
    <w:rsid w:val="00632817"/>
    <w:rsid w:val="0063498E"/>
    <w:rsid w:val="00636003"/>
    <w:rsid w:val="00637684"/>
    <w:rsid w:val="0064237B"/>
    <w:rsid w:val="00650D2D"/>
    <w:rsid w:val="00652BDE"/>
    <w:rsid w:val="00656740"/>
    <w:rsid w:val="00656A9D"/>
    <w:rsid w:val="006704B2"/>
    <w:rsid w:val="006759C0"/>
    <w:rsid w:val="006764BE"/>
    <w:rsid w:val="00681012"/>
    <w:rsid w:val="0069090B"/>
    <w:rsid w:val="00692F4F"/>
    <w:rsid w:val="006A072A"/>
    <w:rsid w:val="006A0ACF"/>
    <w:rsid w:val="006B13E7"/>
    <w:rsid w:val="006B1A74"/>
    <w:rsid w:val="006B3C62"/>
    <w:rsid w:val="006C1013"/>
    <w:rsid w:val="006C2AD2"/>
    <w:rsid w:val="006C3192"/>
    <w:rsid w:val="006C580C"/>
    <w:rsid w:val="006D027B"/>
    <w:rsid w:val="006D2329"/>
    <w:rsid w:val="006D236E"/>
    <w:rsid w:val="006D38A1"/>
    <w:rsid w:val="006E2CB3"/>
    <w:rsid w:val="006E4370"/>
    <w:rsid w:val="006E4EC8"/>
    <w:rsid w:val="006E5A23"/>
    <w:rsid w:val="006E68E0"/>
    <w:rsid w:val="006F20AD"/>
    <w:rsid w:val="006F369E"/>
    <w:rsid w:val="006F5A53"/>
    <w:rsid w:val="00701934"/>
    <w:rsid w:val="00706E69"/>
    <w:rsid w:val="00707149"/>
    <w:rsid w:val="0071035C"/>
    <w:rsid w:val="00713F38"/>
    <w:rsid w:val="00716094"/>
    <w:rsid w:val="007347B2"/>
    <w:rsid w:val="007401CE"/>
    <w:rsid w:val="007402F6"/>
    <w:rsid w:val="00743AB7"/>
    <w:rsid w:val="007444A6"/>
    <w:rsid w:val="0074589E"/>
    <w:rsid w:val="0075143B"/>
    <w:rsid w:val="007534F1"/>
    <w:rsid w:val="007551A5"/>
    <w:rsid w:val="00763EA7"/>
    <w:rsid w:val="00765CAB"/>
    <w:rsid w:val="00766133"/>
    <w:rsid w:val="007708D3"/>
    <w:rsid w:val="0077316A"/>
    <w:rsid w:val="00777DFE"/>
    <w:rsid w:val="00777E3F"/>
    <w:rsid w:val="00780624"/>
    <w:rsid w:val="007836A9"/>
    <w:rsid w:val="00783D2E"/>
    <w:rsid w:val="00787012"/>
    <w:rsid w:val="0078749E"/>
    <w:rsid w:val="00787853"/>
    <w:rsid w:val="00791304"/>
    <w:rsid w:val="00791E03"/>
    <w:rsid w:val="007942EB"/>
    <w:rsid w:val="007969E7"/>
    <w:rsid w:val="00797818"/>
    <w:rsid w:val="007A66F5"/>
    <w:rsid w:val="007A7038"/>
    <w:rsid w:val="007A7454"/>
    <w:rsid w:val="007B0736"/>
    <w:rsid w:val="007B2091"/>
    <w:rsid w:val="007B3215"/>
    <w:rsid w:val="007B42DA"/>
    <w:rsid w:val="007B78BC"/>
    <w:rsid w:val="007C5669"/>
    <w:rsid w:val="007D23DF"/>
    <w:rsid w:val="007D35DE"/>
    <w:rsid w:val="007E5125"/>
    <w:rsid w:val="007F1E7B"/>
    <w:rsid w:val="007F26B9"/>
    <w:rsid w:val="0080388E"/>
    <w:rsid w:val="00803C0C"/>
    <w:rsid w:val="00812C9E"/>
    <w:rsid w:val="008178F8"/>
    <w:rsid w:val="008240D6"/>
    <w:rsid w:val="008262FD"/>
    <w:rsid w:val="00843002"/>
    <w:rsid w:val="00847429"/>
    <w:rsid w:val="008523E0"/>
    <w:rsid w:val="00852D42"/>
    <w:rsid w:val="0086536D"/>
    <w:rsid w:val="0087197A"/>
    <w:rsid w:val="008724B6"/>
    <w:rsid w:val="00872D60"/>
    <w:rsid w:val="008753FB"/>
    <w:rsid w:val="00883B17"/>
    <w:rsid w:val="00884EA8"/>
    <w:rsid w:val="0088540C"/>
    <w:rsid w:val="00885ABC"/>
    <w:rsid w:val="00892617"/>
    <w:rsid w:val="008935D0"/>
    <w:rsid w:val="008942FF"/>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533"/>
    <w:rsid w:val="008D47D4"/>
    <w:rsid w:val="008D5180"/>
    <w:rsid w:val="008D5FA9"/>
    <w:rsid w:val="008E1901"/>
    <w:rsid w:val="008E1FAF"/>
    <w:rsid w:val="008E4268"/>
    <w:rsid w:val="008E5E81"/>
    <w:rsid w:val="008E5E9B"/>
    <w:rsid w:val="008E7E99"/>
    <w:rsid w:val="00902046"/>
    <w:rsid w:val="00904A2B"/>
    <w:rsid w:val="00905A35"/>
    <w:rsid w:val="00907825"/>
    <w:rsid w:val="00910288"/>
    <w:rsid w:val="009207ED"/>
    <w:rsid w:val="00927FC3"/>
    <w:rsid w:val="00930598"/>
    <w:rsid w:val="009306BB"/>
    <w:rsid w:val="00932121"/>
    <w:rsid w:val="00932618"/>
    <w:rsid w:val="0093325D"/>
    <w:rsid w:val="00935F46"/>
    <w:rsid w:val="009364E2"/>
    <w:rsid w:val="00936A8A"/>
    <w:rsid w:val="00942FBD"/>
    <w:rsid w:val="00943785"/>
    <w:rsid w:val="00944192"/>
    <w:rsid w:val="00947DBB"/>
    <w:rsid w:val="0095448D"/>
    <w:rsid w:val="00954C3A"/>
    <w:rsid w:val="009568A1"/>
    <w:rsid w:val="00964016"/>
    <w:rsid w:val="009649DF"/>
    <w:rsid w:val="00965236"/>
    <w:rsid w:val="009653E4"/>
    <w:rsid w:val="009677A3"/>
    <w:rsid w:val="00971AA8"/>
    <w:rsid w:val="00972B3C"/>
    <w:rsid w:val="00973B70"/>
    <w:rsid w:val="00973E03"/>
    <w:rsid w:val="00984B51"/>
    <w:rsid w:val="00986141"/>
    <w:rsid w:val="00986AD9"/>
    <w:rsid w:val="00991668"/>
    <w:rsid w:val="009917C7"/>
    <w:rsid w:val="00997BE9"/>
    <w:rsid w:val="009A001F"/>
    <w:rsid w:val="009A0156"/>
    <w:rsid w:val="009A232F"/>
    <w:rsid w:val="009A25A5"/>
    <w:rsid w:val="009A4B9F"/>
    <w:rsid w:val="009A6B36"/>
    <w:rsid w:val="009A767D"/>
    <w:rsid w:val="009A7AB8"/>
    <w:rsid w:val="009B3664"/>
    <w:rsid w:val="009B571A"/>
    <w:rsid w:val="009B66AD"/>
    <w:rsid w:val="009C4DC0"/>
    <w:rsid w:val="009C4E3F"/>
    <w:rsid w:val="009D19FF"/>
    <w:rsid w:val="009D6FFF"/>
    <w:rsid w:val="009E3323"/>
    <w:rsid w:val="009E353E"/>
    <w:rsid w:val="009E380F"/>
    <w:rsid w:val="00A02E80"/>
    <w:rsid w:val="00A067EC"/>
    <w:rsid w:val="00A06E3A"/>
    <w:rsid w:val="00A07396"/>
    <w:rsid w:val="00A1120A"/>
    <w:rsid w:val="00A117F6"/>
    <w:rsid w:val="00A11D74"/>
    <w:rsid w:val="00A16ED8"/>
    <w:rsid w:val="00A17FA8"/>
    <w:rsid w:val="00A21339"/>
    <w:rsid w:val="00A22537"/>
    <w:rsid w:val="00A30701"/>
    <w:rsid w:val="00A3784B"/>
    <w:rsid w:val="00A4005E"/>
    <w:rsid w:val="00A4097C"/>
    <w:rsid w:val="00A40BD4"/>
    <w:rsid w:val="00A41623"/>
    <w:rsid w:val="00A429BF"/>
    <w:rsid w:val="00A44302"/>
    <w:rsid w:val="00A52F86"/>
    <w:rsid w:val="00A634FF"/>
    <w:rsid w:val="00A6517D"/>
    <w:rsid w:val="00A661B5"/>
    <w:rsid w:val="00A66A42"/>
    <w:rsid w:val="00A67342"/>
    <w:rsid w:val="00A702FC"/>
    <w:rsid w:val="00A73BD3"/>
    <w:rsid w:val="00A74B91"/>
    <w:rsid w:val="00A76204"/>
    <w:rsid w:val="00A81CAE"/>
    <w:rsid w:val="00A84E35"/>
    <w:rsid w:val="00A85A4F"/>
    <w:rsid w:val="00AB56B7"/>
    <w:rsid w:val="00AB6399"/>
    <w:rsid w:val="00AB73A2"/>
    <w:rsid w:val="00AC60B4"/>
    <w:rsid w:val="00AC72A8"/>
    <w:rsid w:val="00AD0562"/>
    <w:rsid w:val="00AD0E49"/>
    <w:rsid w:val="00AD19E0"/>
    <w:rsid w:val="00AD737D"/>
    <w:rsid w:val="00AE2BBD"/>
    <w:rsid w:val="00AE4D4E"/>
    <w:rsid w:val="00AE5501"/>
    <w:rsid w:val="00AF1174"/>
    <w:rsid w:val="00AF3534"/>
    <w:rsid w:val="00B02090"/>
    <w:rsid w:val="00B10F4A"/>
    <w:rsid w:val="00B11111"/>
    <w:rsid w:val="00B14987"/>
    <w:rsid w:val="00B14A86"/>
    <w:rsid w:val="00B23394"/>
    <w:rsid w:val="00B31D37"/>
    <w:rsid w:val="00B33A12"/>
    <w:rsid w:val="00B37BDE"/>
    <w:rsid w:val="00B40974"/>
    <w:rsid w:val="00B463C1"/>
    <w:rsid w:val="00B51318"/>
    <w:rsid w:val="00B526F2"/>
    <w:rsid w:val="00B53425"/>
    <w:rsid w:val="00B567C8"/>
    <w:rsid w:val="00B60682"/>
    <w:rsid w:val="00B62F3C"/>
    <w:rsid w:val="00B64A00"/>
    <w:rsid w:val="00B70AC5"/>
    <w:rsid w:val="00B75AAB"/>
    <w:rsid w:val="00B75FF7"/>
    <w:rsid w:val="00BA0623"/>
    <w:rsid w:val="00BA37B7"/>
    <w:rsid w:val="00BA3C17"/>
    <w:rsid w:val="00BB20FF"/>
    <w:rsid w:val="00BC4591"/>
    <w:rsid w:val="00BC4870"/>
    <w:rsid w:val="00BD6E44"/>
    <w:rsid w:val="00BE297E"/>
    <w:rsid w:val="00BE5198"/>
    <w:rsid w:val="00BF0DE7"/>
    <w:rsid w:val="00BF1CC7"/>
    <w:rsid w:val="00BF3370"/>
    <w:rsid w:val="00BF55F1"/>
    <w:rsid w:val="00BF7C80"/>
    <w:rsid w:val="00C03469"/>
    <w:rsid w:val="00C05D7D"/>
    <w:rsid w:val="00C10D33"/>
    <w:rsid w:val="00C13717"/>
    <w:rsid w:val="00C137FD"/>
    <w:rsid w:val="00C16B80"/>
    <w:rsid w:val="00C23116"/>
    <w:rsid w:val="00C23618"/>
    <w:rsid w:val="00C30B21"/>
    <w:rsid w:val="00C31EC0"/>
    <w:rsid w:val="00C32204"/>
    <w:rsid w:val="00C342AF"/>
    <w:rsid w:val="00C3742B"/>
    <w:rsid w:val="00C42D9D"/>
    <w:rsid w:val="00C4563B"/>
    <w:rsid w:val="00C47D4E"/>
    <w:rsid w:val="00C54A85"/>
    <w:rsid w:val="00C5671D"/>
    <w:rsid w:val="00C56E84"/>
    <w:rsid w:val="00C61F4E"/>
    <w:rsid w:val="00C64E38"/>
    <w:rsid w:val="00C64E50"/>
    <w:rsid w:val="00C66A53"/>
    <w:rsid w:val="00C70165"/>
    <w:rsid w:val="00C76224"/>
    <w:rsid w:val="00C819B9"/>
    <w:rsid w:val="00C827D8"/>
    <w:rsid w:val="00C92175"/>
    <w:rsid w:val="00C93350"/>
    <w:rsid w:val="00CA5482"/>
    <w:rsid w:val="00CA67D5"/>
    <w:rsid w:val="00CA754D"/>
    <w:rsid w:val="00CA78BC"/>
    <w:rsid w:val="00CC3ABD"/>
    <w:rsid w:val="00CC7420"/>
    <w:rsid w:val="00CD09A5"/>
    <w:rsid w:val="00CD1E4F"/>
    <w:rsid w:val="00CD6EF0"/>
    <w:rsid w:val="00CD793A"/>
    <w:rsid w:val="00CE1F4F"/>
    <w:rsid w:val="00CE24F4"/>
    <w:rsid w:val="00CE6238"/>
    <w:rsid w:val="00CE771C"/>
    <w:rsid w:val="00CF0D51"/>
    <w:rsid w:val="00CF4EFD"/>
    <w:rsid w:val="00CF7618"/>
    <w:rsid w:val="00D003ED"/>
    <w:rsid w:val="00D018FF"/>
    <w:rsid w:val="00D02DE8"/>
    <w:rsid w:val="00D06E57"/>
    <w:rsid w:val="00D134DD"/>
    <w:rsid w:val="00D15597"/>
    <w:rsid w:val="00D21BA6"/>
    <w:rsid w:val="00D25079"/>
    <w:rsid w:val="00D30B77"/>
    <w:rsid w:val="00D3156F"/>
    <w:rsid w:val="00D352AA"/>
    <w:rsid w:val="00D35EC9"/>
    <w:rsid w:val="00D36F6D"/>
    <w:rsid w:val="00D37EE2"/>
    <w:rsid w:val="00D410D9"/>
    <w:rsid w:val="00D42F92"/>
    <w:rsid w:val="00D472CD"/>
    <w:rsid w:val="00D5036F"/>
    <w:rsid w:val="00D50DDA"/>
    <w:rsid w:val="00D61347"/>
    <w:rsid w:val="00D623B6"/>
    <w:rsid w:val="00D670AD"/>
    <w:rsid w:val="00D67174"/>
    <w:rsid w:val="00D67A5F"/>
    <w:rsid w:val="00D70084"/>
    <w:rsid w:val="00D73BF6"/>
    <w:rsid w:val="00D772E8"/>
    <w:rsid w:val="00D80921"/>
    <w:rsid w:val="00D92D2B"/>
    <w:rsid w:val="00D94142"/>
    <w:rsid w:val="00DB05E9"/>
    <w:rsid w:val="00DB2787"/>
    <w:rsid w:val="00DB5D35"/>
    <w:rsid w:val="00DB6D18"/>
    <w:rsid w:val="00DC45EB"/>
    <w:rsid w:val="00DC7CC1"/>
    <w:rsid w:val="00DD2157"/>
    <w:rsid w:val="00DD7C10"/>
    <w:rsid w:val="00DE6D44"/>
    <w:rsid w:val="00DF1CAF"/>
    <w:rsid w:val="00DF7D7C"/>
    <w:rsid w:val="00DF7E09"/>
    <w:rsid w:val="00E00AF8"/>
    <w:rsid w:val="00E12F45"/>
    <w:rsid w:val="00E15E18"/>
    <w:rsid w:val="00E17AC2"/>
    <w:rsid w:val="00E238A2"/>
    <w:rsid w:val="00E24D14"/>
    <w:rsid w:val="00E319C1"/>
    <w:rsid w:val="00E367F5"/>
    <w:rsid w:val="00E36C3D"/>
    <w:rsid w:val="00E41AB3"/>
    <w:rsid w:val="00E449B7"/>
    <w:rsid w:val="00E45289"/>
    <w:rsid w:val="00E532B7"/>
    <w:rsid w:val="00E609EF"/>
    <w:rsid w:val="00E824AA"/>
    <w:rsid w:val="00E8493A"/>
    <w:rsid w:val="00E85E39"/>
    <w:rsid w:val="00E903DC"/>
    <w:rsid w:val="00E90A01"/>
    <w:rsid w:val="00E933AD"/>
    <w:rsid w:val="00E9769F"/>
    <w:rsid w:val="00EA23D5"/>
    <w:rsid w:val="00EA308D"/>
    <w:rsid w:val="00EA3A5E"/>
    <w:rsid w:val="00EA59D4"/>
    <w:rsid w:val="00EB0E3C"/>
    <w:rsid w:val="00EB1C04"/>
    <w:rsid w:val="00EB330C"/>
    <w:rsid w:val="00EB43F2"/>
    <w:rsid w:val="00EB4B31"/>
    <w:rsid w:val="00EC0B57"/>
    <w:rsid w:val="00EC3DED"/>
    <w:rsid w:val="00EC4178"/>
    <w:rsid w:val="00EC4707"/>
    <w:rsid w:val="00EC553F"/>
    <w:rsid w:val="00EC7350"/>
    <w:rsid w:val="00ED14B4"/>
    <w:rsid w:val="00ED5CAD"/>
    <w:rsid w:val="00ED7D41"/>
    <w:rsid w:val="00EF280A"/>
    <w:rsid w:val="00F035FA"/>
    <w:rsid w:val="00F04245"/>
    <w:rsid w:val="00F1497C"/>
    <w:rsid w:val="00F342FA"/>
    <w:rsid w:val="00F36422"/>
    <w:rsid w:val="00F41AED"/>
    <w:rsid w:val="00F427FC"/>
    <w:rsid w:val="00F56725"/>
    <w:rsid w:val="00F57BCC"/>
    <w:rsid w:val="00F57E57"/>
    <w:rsid w:val="00F668DC"/>
    <w:rsid w:val="00F764C1"/>
    <w:rsid w:val="00F7750C"/>
    <w:rsid w:val="00F8547C"/>
    <w:rsid w:val="00F87769"/>
    <w:rsid w:val="00F934A4"/>
    <w:rsid w:val="00F971DC"/>
    <w:rsid w:val="00FA146D"/>
    <w:rsid w:val="00FA31BE"/>
    <w:rsid w:val="00FA433B"/>
    <w:rsid w:val="00FA4B3E"/>
    <w:rsid w:val="00FA630B"/>
    <w:rsid w:val="00FB0D4B"/>
    <w:rsid w:val="00FB40FA"/>
    <w:rsid w:val="00FB485B"/>
    <w:rsid w:val="00FC35EE"/>
    <w:rsid w:val="00FC5AF2"/>
    <w:rsid w:val="00FC7364"/>
    <w:rsid w:val="00FC7D4D"/>
    <w:rsid w:val="00FD2898"/>
    <w:rsid w:val="00FD2BB9"/>
    <w:rsid w:val="00FD3548"/>
    <w:rsid w:val="00FD3F29"/>
    <w:rsid w:val="00FD6250"/>
    <w:rsid w:val="00FD6880"/>
    <w:rsid w:val="00FE26C6"/>
    <w:rsid w:val="00FE7D95"/>
    <w:rsid w:val="00FF1E27"/>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0E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944192"/>
    <w:pPr>
      <w:ind w:left="720"/>
      <w:contextualSpacing/>
    </w:pPr>
  </w:style>
  <w:style w:type="character" w:styleId="PlaceholderText">
    <w:name w:val="Placeholder Text"/>
    <w:basedOn w:val="DefaultParagraphFont"/>
    <w:uiPriority w:val="99"/>
    <w:unhideWhenUsed/>
    <w:rsid w:val="008D453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944192"/>
    <w:pPr>
      <w:ind w:left="720"/>
      <w:contextualSpacing/>
    </w:pPr>
  </w:style>
  <w:style w:type="character" w:styleId="PlaceholderText">
    <w:name w:val="Placeholder Text"/>
    <w:basedOn w:val="DefaultParagraphFont"/>
    <w:uiPriority w:val="99"/>
    <w:unhideWhenUsed/>
    <w:rsid w:val="008D4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2071</TotalTime>
  <Pages>19</Pages>
  <Words>11029</Words>
  <Characters>62871</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Mark Boles</cp:lastModifiedBy>
  <cp:revision>88</cp:revision>
  <cp:lastPrinted>2014-11-19T03:38:00Z</cp:lastPrinted>
  <dcterms:created xsi:type="dcterms:W3CDTF">2014-11-18T16:53:00Z</dcterms:created>
  <dcterms:modified xsi:type="dcterms:W3CDTF">2015-04-22T04:47:00Z</dcterms:modified>
</cp:coreProperties>
</file>