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45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2180"/>
        <w:gridCol w:w="1672"/>
        <w:gridCol w:w="1961"/>
        <w:gridCol w:w="2350"/>
        <w:gridCol w:w="2463"/>
        <w:gridCol w:w="5812"/>
        <w:gridCol w:w="22"/>
      </w:tblGrid>
      <w:tr w:rsidR="00333688" w:rsidRPr="00685BC8" w:rsidTr="005F4DFC">
        <w:trPr>
          <w:trHeight w:val="686"/>
        </w:trPr>
        <w:tc>
          <w:tcPr>
            <w:tcW w:w="18458" w:type="dxa"/>
            <w:gridSpan w:val="8"/>
          </w:tcPr>
          <w:p w:rsidR="00333688" w:rsidRPr="00685BC8" w:rsidRDefault="00333688" w:rsidP="00D90710">
            <w:pPr>
              <w:rPr>
                <w:b/>
              </w:rPr>
            </w:pPr>
            <w:r w:rsidRPr="00685BC8">
              <w:rPr>
                <w:b/>
              </w:rPr>
              <w:t>Student Name: Jonathan Samuelson</w:t>
            </w:r>
          </w:p>
          <w:p w:rsidR="00333688" w:rsidRPr="00685BC8" w:rsidRDefault="00333688" w:rsidP="00D90710">
            <w:pPr>
              <w:rPr>
                <w:b/>
              </w:rPr>
            </w:pPr>
          </w:p>
        </w:tc>
      </w:tr>
      <w:tr w:rsidR="00333688" w:rsidRPr="00685BC8" w:rsidTr="005F4DFC">
        <w:trPr>
          <w:gridAfter w:val="1"/>
          <w:wAfter w:w="22" w:type="dxa"/>
          <w:trHeight w:val="519"/>
        </w:trPr>
        <w:tc>
          <w:tcPr>
            <w:tcW w:w="12624" w:type="dxa"/>
            <w:gridSpan w:val="6"/>
          </w:tcPr>
          <w:p w:rsidR="00333688" w:rsidRPr="00217A3F" w:rsidRDefault="005F4DFC" w:rsidP="00D90710">
            <w:pPr>
              <w:rPr>
                <w:b/>
              </w:rPr>
            </w:pPr>
            <w:r w:rsidRPr="00217A3F">
              <w:rPr>
                <w:b/>
              </w:rPr>
              <w:t>What is the optimal number of exercises for an</w:t>
            </w:r>
            <w:r w:rsidR="00E46649">
              <w:rPr>
                <w:b/>
              </w:rPr>
              <w:t xml:space="preserve"> older adult to perform at home?</w:t>
            </w:r>
            <w:r w:rsidR="001A3677">
              <w:rPr>
                <w:b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812" w:type="dxa"/>
          </w:tcPr>
          <w:p w:rsidR="00333688" w:rsidRPr="00685BC8" w:rsidRDefault="00333688" w:rsidP="00A246C8">
            <w:pPr>
              <w:rPr>
                <w:b/>
              </w:rPr>
            </w:pPr>
            <w:r w:rsidRPr="00685BC8">
              <w:rPr>
                <w:b/>
              </w:rPr>
              <w:t>Searches: Cochrane, Pedro, PubMed, CINAHL</w:t>
            </w:r>
          </w:p>
        </w:tc>
      </w:tr>
      <w:tr w:rsidR="0048786B" w:rsidRPr="00685BC8" w:rsidTr="00C51E26">
        <w:trPr>
          <w:trHeight w:val="666"/>
        </w:trPr>
        <w:tc>
          <w:tcPr>
            <w:tcW w:w="1998" w:type="dxa"/>
          </w:tcPr>
          <w:p w:rsidR="0048786B" w:rsidRPr="00685BC8" w:rsidRDefault="0048786B" w:rsidP="00A61FDE">
            <w:pPr>
              <w:rPr>
                <w:b/>
              </w:rPr>
            </w:pPr>
            <w:r w:rsidRPr="00685BC8">
              <w:br w:type="page"/>
            </w:r>
            <w:r w:rsidRPr="00685BC8">
              <w:rPr>
                <w:b/>
              </w:rPr>
              <w:t>Author/Year</w:t>
            </w:r>
          </w:p>
        </w:tc>
        <w:tc>
          <w:tcPr>
            <w:tcW w:w="2180" w:type="dxa"/>
          </w:tcPr>
          <w:p w:rsidR="0048786B" w:rsidRPr="00685BC8" w:rsidRDefault="0048786B" w:rsidP="00586343">
            <w:pPr>
              <w:rPr>
                <w:b/>
              </w:rPr>
            </w:pPr>
            <w:r w:rsidRPr="00685BC8">
              <w:rPr>
                <w:b/>
              </w:rPr>
              <w:t>Purpose</w:t>
            </w:r>
          </w:p>
        </w:tc>
        <w:tc>
          <w:tcPr>
            <w:tcW w:w="1672" w:type="dxa"/>
          </w:tcPr>
          <w:p w:rsidR="0048786B" w:rsidRPr="00685BC8" w:rsidRDefault="004F0F3F" w:rsidP="00D90710">
            <w:pPr>
              <w:rPr>
                <w:b/>
              </w:rPr>
            </w:pPr>
            <w:r>
              <w:rPr>
                <w:b/>
              </w:rPr>
              <w:t xml:space="preserve">Design </w:t>
            </w:r>
          </w:p>
        </w:tc>
        <w:tc>
          <w:tcPr>
            <w:tcW w:w="1961" w:type="dxa"/>
          </w:tcPr>
          <w:p w:rsidR="0048786B" w:rsidRDefault="004F0F3F" w:rsidP="00D90710">
            <w:pPr>
              <w:rPr>
                <w:b/>
              </w:rPr>
            </w:pPr>
            <w:r>
              <w:rPr>
                <w:b/>
              </w:rPr>
              <w:t>Subjects</w:t>
            </w:r>
          </w:p>
          <w:p w:rsidR="004F0F3F" w:rsidRPr="00685BC8" w:rsidRDefault="004F0F3F" w:rsidP="00D90710">
            <w:pPr>
              <w:rPr>
                <w:b/>
              </w:rPr>
            </w:pPr>
          </w:p>
        </w:tc>
        <w:tc>
          <w:tcPr>
            <w:tcW w:w="2350" w:type="dxa"/>
          </w:tcPr>
          <w:p w:rsidR="0048786B" w:rsidRPr="00685BC8" w:rsidRDefault="0048786B" w:rsidP="00D90710">
            <w:pPr>
              <w:rPr>
                <w:b/>
              </w:rPr>
            </w:pPr>
            <w:r w:rsidRPr="00685BC8">
              <w:rPr>
                <w:b/>
              </w:rPr>
              <w:t>Intervention</w:t>
            </w:r>
          </w:p>
        </w:tc>
        <w:tc>
          <w:tcPr>
            <w:tcW w:w="2463" w:type="dxa"/>
          </w:tcPr>
          <w:p w:rsidR="0048786B" w:rsidRPr="00685BC8" w:rsidRDefault="0048786B" w:rsidP="00D90710">
            <w:pPr>
              <w:rPr>
                <w:b/>
              </w:rPr>
            </w:pPr>
            <w:r w:rsidRPr="00685BC8">
              <w:rPr>
                <w:b/>
              </w:rPr>
              <w:t>Outcomes</w:t>
            </w:r>
          </w:p>
        </w:tc>
        <w:tc>
          <w:tcPr>
            <w:tcW w:w="5834" w:type="dxa"/>
            <w:gridSpan w:val="2"/>
          </w:tcPr>
          <w:p w:rsidR="0048786B" w:rsidRPr="00685BC8" w:rsidRDefault="0048786B" w:rsidP="00D90710">
            <w:pPr>
              <w:rPr>
                <w:b/>
              </w:rPr>
            </w:pPr>
            <w:r>
              <w:rPr>
                <w:b/>
              </w:rPr>
              <w:t>Results</w:t>
            </w:r>
          </w:p>
        </w:tc>
      </w:tr>
      <w:tr w:rsidR="00586343" w:rsidRPr="00685BC8" w:rsidTr="00C51E26">
        <w:trPr>
          <w:trHeight w:val="353"/>
        </w:trPr>
        <w:tc>
          <w:tcPr>
            <w:tcW w:w="1998" w:type="dxa"/>
          </w:tcPr>
          <w:p w:rsidR="00586343" w:rsidRPr="009E49A5" w:rsidRDefault="00586343" w:rsidP="00A61FDE">
            <w:pPr>
              <w:rPr>
                <w:sz w:val="22"/>
                <w:szCs w:val="22"/>
              </w:rPr>
            </w:pPr>
            <w:r w:rsidRPr="009E49A5">
              <w:rPr>
                <w:sz w:val="22"/>
                <w:szCs w:val="22"/>
              </w:rPr>
              <w:t>Henry et al. 1999</w:t>
            </w:r>
          </w:p>
        </w:tc>
        <w:tc>
          <w:tcPr>
            <w:tcW w:w="2180" w:type="dxa"/>
          </w:tcPr>
          <w:p w:rsidR="00586343" w:rsidRPr="009E49A5" w:rsidRDefault="00586343" w:rsidP="0058634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E49A5">
              <w:rPr>
                <w:rFonts w:eastAsiaTheme="minorEastAsia"/>
                <w:sz w:val="22"/>
                <w:szCs w:val="22"/>
              </w:rPr>
              <w:t>To determine whether older adults comply and exhibit better movement mechanics they are asked to do 2, 5, or 8 exercises.</w:t>
            </w:r>
          </w:p>
        </w:tc>
        <w:tc>
          <w:tcPr>
            <w:tcW w:w="1672" w:type="dxa"/>
          </w:tcPr>
          <w:p w:rsidR="00586343" w:rsidRPr="009E49A5" w:rsidRDefault="00586343" w:rsidP="0002133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E49A5">
              <w:rPr>
                <w:rFonts w:eastAsiaTheme="minorEastAsia"/>
                <w:sz w:val="22"/>
                <w:szCs w:val="22"/>
              </w:rPr>
              <w:t>RCT. Subjects randomly prescribed 2, 5, or 8 strengthening exercises to perform at home.</w:t>
            </w:r>
          </w:p>
          <w:p w:rsidR="00586343" w:rsidRPr="009E49A5" w:rsidRDefault="00586343" w:rsidP="00D90710">
            <w:pPr>
              <w:rPr>
                <w:b/>
                <w:sz w:val="22"/>
                <w:szCs w:val="22"/>
              </w:rPr>
            </w:pPr>
          </w:p>
        </w:tc>
        <w:tc>
          <w:tcPr>
            <w:tcW w:w="1961" w:type="dxa"/>
          </w:tcPr>
          <w:p w:rsidR="00586343" w:rsidRPr="009E49A5" w:rsidRDefault="00586343" w:rsidP="003E20DC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9E49A5">
              <w:rPr>
                <w:rFonts w:eastAsiaTheme="minorEastAsia"/>
                <w:sz w:val="22"/>
                <w:szCs w:val="22"/>
              </w:rPr>
              <w:t>N=15,  11 women and 4 men.</w:t>
            </w:r>
          </w:p>
          <w:p w:rsidR="00586343" w:rsidRPr="009E49A5" w:rsidRDefault="00586343" w:rsidP="003E20DC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  <w:p w:rsidR="00586343" w:rsidRPr="009E49A5" w:rsidRDefault="00586343" w:rsidP="003E20DC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9E49A5">
              <w:rPr>
                <w:rFonts w:eastAsiaTheme="minorEastAsia"/>
                <w:sz w:val="22"/>
                <w:szCs w:val="22"/>
              </w:rPr>
              <w:t>67 to 82 years old.</w:t>
            </w:r>
          </w:p>
          <w:p w:rsidR="00586343" w:rsidRPr="009E49A5" w:rsidRDefault="00586343" w:rsidP="003E20DC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  <w:p w:rsidR="00586343" w:rsidRPr="009E49A5" w:rsidRDefault="00586343" w:rsidP="00586343">
            <w:pPr>
              <w:rPr>
                <w:b/>
                <w:sz w:val="22"/>
                <w:szCs w:val="22"/>
              </w:rPr>
            </w:pPr>
            <w:r w:rsidRPr="009E49A5">
              <w:rPr>
                <w:rFonts w:eastAsiaTheme="minorEastAsia"/>
                <w:sz w:val="22"/>
                <w:szCs w:val="22"/>
              </w:rPr>
              <w:t>Living independently in the community.</w:t>
            </w:r>
          </w:p>
        </w:tc>
        <w:tc>
          <w:tcPr>
            <w:tcW w:w="2350" w:type="dxa"/>
          </w:tcPr>
          <w:p w:rsidR="00586343" w:rsidRPr="009E49A5" w:rsidRDefault="00586343" w:rsidP="003E20DC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9E49A5">
              <w:rPr>
                <w:rFonts w:eastAsiaTheme="minorEastAsia"/>
                <w:sz w:val="22"/>
                <w:szCs w:val="22"/>
              </w:rPr>
              <w:t>Subjects received exercise instruction at the initial session and asked to record the number of</w:t>
            </w:r>
            <w:r w:rsidR="009E49A5" w:rsidRPr="009E49A5">
              <w:rPr>
                <w:rFonts w:eastAsiaTheme="minorEastAsia"/>
                <w:sz w:val="22"/>
                <w:szCs w:val="22"/>
              </w:rPr>
              <w:t xml:space="preserve"> </w:t>
            </w:r>
            <w:r w:rsidRPr="009E49A5">
              <w:rPr>
                <w:rFonts w:eastAsiaTheme="minorEastAsia"/>
                <w:sz w:val="22"/>
                <w:szCs w:val="22"/>
              </w:rPr>
              <w:t>repetitions performed each day in a</w:t>
            </w:r>
            <w:r w:rsidR="009E49A5" w:rsidRPr="009E49A5">
              <w:rPr>
                <w:rFonts w:eastAsiaTheme="minorEastAsia"/>
                <w:sz w:val="22"/>
                <w:szCs w:val="22"/>
              </w:rPr>
              <w:t>n</w:t>
            </w:r>
            <w:r w:rsidRPr="009E49A5">
              <w:rPr>
                <w:rFonts w:eastAsiaTheme="minorEastAsia"/>
                <w:sz w:val="22"/>
                <w:szCs w:val="22"/>
              </w:rPr>
              <w:t xml:space="preserve"> exercise log. Exercise packets were prepared for each subject</w:t>
            </w:r>
            <w:r w:rsidR="009E49A5" w:rsidRPr="009E49A5">
              <w:rPr>
                <w:rFonts w:eastAsiaTheme="minorEastAsia"/>
                <w:sz w:val="22"/>
                <w:szCs w:val="22"/>
              </w:rPr>
              <w:t xml:space="preserve"> to use as reference.</w:t>
            </w:r>
          </w:p>
          <w:p w:rsidR="00586343" w:rsidRPr="009E49A5" w:rsidRDefault="00586343" w:rsidP="003E20DC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  <w:p w:rsidR="00586343" w:rsidRPr="009E49A5" w:rsidRDefault="00586343" w:rsidP="003E20D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E49A5">
              <w:rPr>
                <w:rFonts w:eastAsiaTheme="minorEastAsia"/>
                <w:sz w:val="22"/>
                <w:szCs w:val="22"/>
              </w:rPr>
              <w:t>.</w:t>
            </w:r>
          </w:p>
          <w:p w:rsidR="00586343" w:rsidRPr="009E49A5" w:rsidRDefault="00586343" w:rsidP="00D90710">
            <w:pPr>
              <w:rPr>
                <w:b/>
                <w:sz w:val="22"/>
                <w:szCs w:val="22"/>
              </w:rPr>
            </w:pPr>
          </w:p>
        </w:tc>
        <w:tc>
          <w:tcPr>
            <w:tcW w:w="2463" w:type="dxa"/>
          </w:tcPr>
          <w:p w:rsidR="00586343" w:rsidRDefault="00265819" w:rsidP="009E49A5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A </w:t>
            </w:r>
            <w:r w:rsidR="006F0B96">
              <w:rPr>
                <w:rFonts w:eastAsiaTheme="minorEastAsia"/>
                <w:sz w:val="22"/>
                <w:szCs w:val="22"/>
              </w:rPr>
              <w:t xml:space="preserve">performance </w:t>
            </w:r>
            <w:r w:rsidR="001A3677">
              <w:rPr>
                <w:rFonts w:eastAsiaTheme="minorEastAsia"/>
                <w:sz w:val="22"/>
                <w:szCs w:val="22"/>
              </w:rPr>
              <w:t>tool for</w:t>
            </w:r>
            <w:r w:rsidR="00A26D1F">
              <w:rPr>
                <w:rFonts w:eastAsiaTheme="minorEastAsia"/>
                <w:sz w:val="22"/>
                <w:szCs w:val="22"/>
              </w:rPr>
              <w:t xml:space="preserve"> </w:t>
            </w:r>
            <w:r w:rsidR="00A26D1F" w:rsidRPr="009E49A5">
              <w:rPr>
                <w:rFonts w:eastAsiaTheme="minorEastAsia"/>
                <w:sz w:val="22"/>
                <w:szCs w:val="22"/>
              </w:rPr>
              <w:t>each exercise</w:t>
            </w:r>
            <w:r w:rsidR="006F0B96">
              <w:rPr>
                <w:rFonts w:eastAsiaTheme="minorEastAsia"/>
                <w:sz w:val="22"/>
                <w:szCs w:val="22"/>
              </w:rPr>
              <w:t>,</w:t>
            </w:r>
            <w:r w:rsidR="00A26D1F">
              <w:rPr>
                <w:rFonts w:eastAsiaTheme="minorEastAsia"/>
                <w:sz w:val="22"/>
                <w:szCs w:val="22"/>
              </w:rPr>
              <w:t xml:space="preserve"> based on cuing, al</w:t>
            </w:r>
            <w:r>
              <w:rPr>
                <w:rFonts w:eastAsiaTheme="minorEastAsia"/>
                <w:sz w:val="22"/>
                <w:szCs w:val="22"/>
              </w:rPr>
              <w:t>ignment and quality of movement was used 7-10 days after the initial assessment to score performance.</w:t>
            </w:r>
          </w:p>
          <w:p w:rsidR="009E49A5" w:rsidRDefault="009E49A5" w:rsidP="009E49A5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  <w:p w:rsidR="009E49A5" w:rsidRPr="009E49A5" w:rsidRDefault="009E49A5" w:rsidP="009E49A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There was also a self-report measure for compliance.</w:t>
            </w:r>
          </w:p>
        </w:tc>
        <w:tc>
          <w:tcPr>
            <w:tcW w:w="5834" w:type="dxa"/>
            <w:gridSpan w:val="2"/>
          </w:tcPr>
          <w:p w:rsidR="00586343" w:rsidRPr="009E49A5" w:rsidRDefault="00586343" w:rsidP="0026581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E49A5">
              <w:rPr>
                <w:rFonts w:eastAsiaTheme="minorEastAsia"/>
                <w:sz w:val="22"/>
                <w:szCs w:val="22"/>
              </w:rPr>
              <w:t xml:space="preserve">The group that was prescribed 2 exercises </w:t>
            </w:r>
            <w:r w:rsidR="006F0B96">
              <w:rPr>
                <w:rFonts w:eastAsiaTheme="minorEastAsia"/>
                <w:sz w:val="22"/>
                <w:szCs w:val="22"/>
              </w:rPr>
              <w:t>scored higher a</w:t>
            </w:r>
            <w:r w:rsidR="009E49A5">
              <w:rPr>
                <w:rFonts w:eastAsiaTheme="minorEastAsia"/>
                <w:sz w:val="22"/>
                <w:szCs w:val="22"/>
              </w:rPr>
              <w:t>ccording to the</w:t>
            </w:r>
            <w:r w:rsidR="006F0B96">
              <w:rPr>
                <w:rFonts w:eastAsiaTheme="minorEastAsia"/>
                <w:sz w:val="22"/>
                <w:szCs w:val="22"/>
              </w:rPr>
              <w:t xml:space="preserve"> performance tool</w:t>
            </w:r>
            <w:r w:rsidRPr="009E49A5">
              <w:rPr>
                <w:rFonts w:eastAsiaTheme="minorEastAsia"/>
                <w:sz w:val="22"/>
                <w:szCs w:val="22"/>
              </w:rPr>
              <w:t xml:space="preserve">, than the group that was prescribed 8 exercises. The group that was prescribed 5 exercises was not </w:t>
            </w:r>
            <w:r w:rsidR="00265819">
              <w:rPr>
                <w:rFonts w:eastAsiaTheme="minorEastAsia"/>
                <w:sz w:val="22"/>
                <w:szCs w:val="22"/>
              </w:rPr>
              <w:t xml:space="preserve">statistically </w:t>
            </w:r>
            <w:r w:rsidRPr="009E49A5">
              <w:rPr>
                <w:rFonts w:eastAsiaTheme="minorEastAsia"/>
                <w:sz w:val="22"/>
                <w:szCs w:val="22"/>
              </w:rPr>
              <w:t>different from the groups that performed 2 or 8</w:t>
            </w:r>
            <w:r w:rsidR="00265819">
              <w:rPr>
                <w:rFonts w:eastAsiaTheme="minorEastAsia"/>
                <w:sz w:val="22"/>
                <w:szCs w:val="22"/>
              </w:rPr>
              <w:t xml:space="preserve"> exercises. There were no </w:t>
            </w:r>
            <w:r w:rsidR="00F01967">
              <w:rPr>
                <w:rFonts w:eastAsiaTheme="minorEastAsia"/>
                <w:sz w:val="22"/>
                <w:szCs w:val="22"/>
              </w:rPr>
              <w:t xml:space="preserve">differences between </w:t>
            </w:r>
            <w:r w:rsidR="00265819">
              <w:rPr>
                <w:rFonts w:eastAsiaTheme="minorEastAsia"/>
                <w:sz w:val="22"/>
                <w:szCs w:val="22"/>
              </w:rPr>
              <w:t xml:space="preserve">the </w:t>
            </w:r>
            <w:r w:rsidR="00F01967">
              <w:rPr>
                <w:rFonts w:eastAsiaTheme="minorEastAsia"/>
                <w:sz w:val="22"/>
                <w:szCs w:val="22"/>
              </w:rPr>
              <w:t xml:space="preserve">groups in </w:t>
            </w:r>
            <w:r w:rsidRPr="009E49A5">
              <w:rPr>
                <w:rFonts w:eastAsiaTheme="minorEastAsia"/>
                <w:sz w:val="22"/>
                <w:szCs w:val="22"/>
              </w:rPr>
              <w:t>self-report</w:t>
            </w:r>
            <w:r w:rsidR="00265819">
              <w:rPr>
                <w:rFonts w:eastAsiaTheme="minorEastAsia"/>
                <w:sz w:val="22"/>
                <w:szCs w:val="22"/>
              </w:rPr>
              <w:t>s o</w:t>
            </w:r>
            <w:r w:rsidRPr="009E49A5">
              <w:rPr>
                <w:rFonts w:eastAsiaTheme="minorEastAsia"/>
                <w:sz w:val="22"/>
                <w:szCs w:val="22"/>
              </w:rPr>
              <w:t>f compliance.</w:t>
            </w:r>
            <w:r w:rsidR="00F01967">
              <w:rPr>
                <w:rFonts w:eastAsiaTheme="minorEastAsia"/>
                <w:sz w:val="22"/>
                <w:szCs w:val="22"/>
              </w:rPr>
              <w:t xml:space="preserve"> </w:t>
            </w:r>
          </w:p>
        </w:tc>
      </w:tr>
      <w:tr w:rsidR="00586343" w:rsidRPr="00685BC8" w:rsidTr="006F0B96">
        <w:trPr>
          <w:trHeight w:val="3815"/>
        </w:trPr>
        <w:tc>
          <w:tcPr>
            <w:tcW w:w="1998" w:type="dxa"/>
          </w:tcPr>
          <w:p w:rsidR="00586343" w:rsidRPr="009E49A5" w:rsidRDefault="00586343" w:rsidP="003E20DC">
            <w:pPr>
              <w:rPr>
                <w:sz w:val="22"/>
                <w:szCs w:val="22"/>
              </w:rPr>
            </w:pPr>
            <w:r w:rsidRPr="009E49A5">
              <w:rPr>
                <w:sz w:val="22"/>
                <w:szCs w:val="22"/>
              </w:rPr>
              <w:t>Rastall et al. 1999</w:t>
            </w:r>
          </w:p>
        </w:tc>
        <w:tc>
          <w:tcPr>
            <w:tcW w:w="2180" w:type="dxa"/>
          </w:tcPr>
          <w:p w:rsidR="00586343" w:rsidRPr="009E49A5" w:rsidRDefault="00265819" w:rsidP="00D123AF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To explore</w:t>
            </w:r>
            <w:r w:rsidR="00586343" w:rsidRPr="009E49A5">
              <w:rPr>
                <w:rFonts w:eastAsiaTheme="minorEastAsia"/>
                <w:sz w:val="22"/>
                <w:szCs w:val="22"/>
              </w:rPr>
              <w:t xml:space="preserve"> whether young and older adults differ in</w:t>
            </w:r>
          </w:p>
          <w:p w:rsidR="00586343" w:rsidRDefault="006F0B96" w:rsidP="006F0B96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their ability</w:t>
            </w:r>
            <w:r w:rsidR="00586343" w:rsidRPr="009E49A5">
              <w:rPr>
                <w:rFonts w:eastAsiaTheme="minorEastAsia"/>
                <w:sz w:val="22"/>
                <w:szCs w:val="22"/>
              </w:rPr>
              <w:t xml:space="preserve"> for remembering and performing exercises</w:t>
            </w:r>
            <w:r w:rsidR="00E16EFB">
              <w:rPr>
                <w:rFonts w:eastAsiaTheme="minorEastAsia"/>
                <w:sz w:val="22"/>
                <w:szCs w:val="22"/>
              </w:rPr>
              <w:t xml:space="preserve"> </w:t>
            </w:r>
            <w:r w:rsidR="00586343" w:rsidRPr="009E49A5">
              <w:rPr>
                <w:rFonts w:eastAsiaTheme="minorEastAsia"/>
                <w:sz w:val="22"/>
                <w:szCs w:val="22"/>
              </w:rPr>
              <w:t>correctly.</w:t>
            </w:r>
          </w:p>
          <w:p w:rsidR="006F0B96" w:rsidRPr="009E49A5" w:rsidRDefault="006F0B96" w:rsidP="006F0B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672" w:type="dxa"/>
          </w:tcPr>
          <w:p w:rsidR="00586343" w:rsidRPr="009E49A5" w:rsidRDefault="008C2541" w:rsidP="00C51E2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A 2x2 between subjects </w:t>
            </w:r>
            <w:r w:rsidR="00C51E26">
              <w:rPr>
                <w:rFonts w:eastAsiaTheme="minorEastAsia"/>
                <w:sz w:val="22"/>
                <w:szCs w:val="22"/>
              </w:rPr>
              <w:t>d</w:t>
            </w:r>
            <w:r>
              <w:rPr>
                <w:rFonts w:eastAsiaTheme="minorEastAsia"/>
                <w:sz w:val="22"/>
                <w:szCs w:val="22"/>
              </w:rPr>
              <w:t xml:space="preserve">esign. </w:t>
            </w:r>
            <w:r w:rsidR="00C51E26">
              <w:rPr>
                <w:rFonts w:eastAsiaTheme="minorEastAsia"/>
                <w:sz w:val="22"/>
                <w:szCs w:val="22"/>
              </w:rPr>
              <w:t>S</w:t>
            </w:r>
            <w:r>
              <w:rPr>
                <w:rFonts w:eastAsiaTheme="minorEastAsia"/>
                <w:sz w:val="22"/>
                <w:szCs w:val="22"/>
              </w:rPr>
              <w:t xml:space="preserve">ubjects </w:t>
            </w:r>
            <w:r w:rsidR="00C51E26">
              <w:rPr>
                <w:rFonts w:eastAsiaTheme="minorEastAsia"/>
                <w:sz w:val="22"/>
                <w:szCs w:val="22"/>
              </w:rPr>
              <w:t xml:space="preserve">from each group (younger and older) </w:t>
            </w:r>
            <w:r>
              <w:rPr>
                <w:rFonts w:eastAsiaTheme="minorEastAsia"/>
                <w:sz w:val="22"/>
                <w:szCs w:val="22"/>
              </w:rPr>
              <w:t>r</w:t>
            </w:r>
            <w:r w:rsidR="00586343" w:rsidRPr="009E49A5">
              <w:rPr>
                <w:rFonts w:eastAsiaTheme="minorEastAsia"/>
                <w:sz w:val="22"/>
                <w:szCs w:val="22"/>
              </w:rPr>
              <w:t>andomly assigned to perform and remember either</w:t>
            </w:r>
            <w:r w:rsidR="00E16EFB">
              <w:rPr>
                <w:rFonts w:eastAsiaTheme="minorEastAsia"/>
                <w:sz w:val="22"/>
                <w:szCs w:val="22"/>
              </w:rPr>
              <w:t xml:space="preserve"> </w:t>
            </w:r>
            <w:r w:rsidR="00586343" w:rsidRPr="009E49A5">
              <w:rPr>
                <w:rFonts w:eastAsiaTheme="minorEastAsia"/>
                <w:sz w:val="22"/>
                <w:szCs w:val="22"/>
              </w:rPr>
              <w:t xml:space="preserve">a </w:t>
            </w:r>
            <w:r w:rsidR="00E16EFB">
              <w:rPr>
                <w:rFonts w:eastAsiaTheme="minorEastAsia"/>
                <w:sz w:val="22"/>
                <w:szCs w:val="22"/>
              </w:rPr>
              <w:t>short list of 5</w:t>
            </w:r>
            <w:r w:rsidR="00586343" w:rsidRPr="009E49A5">
              <w:rPr>
                <w:rFonts w:eastAsiaTheme="minorEastAsia"/>
                <w:sz w:val="22"/>
                <w:szCs w:val="22"/>
              </w:rPr>
              <w:t xml:space="preserve"> </w:t>
            </w:r>
            <w:r w:rsidR="00E16EFB">
              <w:rPr>
                <w:rFonts w:eastAsiaTheme="minorEastAsia"/>
                <w:sz w:val="22"/>
                <w:szCs w:val="22"/>
              </w:rPr>
              <w:t>e</w:t>
            </w:r>
            <w:r w:rsidR="00586343" w:rsidRPr="009E49A5">
              <w:rPr>
                <w:rFonts w:eastAsiaTheme="minorEastAsia"/>
                <w:sz w:val="22"/>
                <w:szCs w:val="22"/>
              </w:rPr>
              <w:t xml:space="preserve">xercises or a </w:t>
            </w:r>
            <w:r w:rsidR="00E16EFB">
              <w:rPr>
                <w:rFonts w:eastAsiaTheme="minorEastAsia"/>
                <w:sz w:val="22"/>
                <w:szCs w:val="22"/>
              </w:rPr>
              <w:t>long list of 10</w:t>
            </w:r>
            <w:r w:rsidR="00586343" w:rsidRPr="009E49A5">
              <w:rPr>
                <w:rFonts w:eastAsiaTheme="minorEastAsia"/>
                <w:sz w:val="22"/>
                <w:szCs w:val="22"/>
              </w:rPr>
              <w:t xml:space="preserve"> exercises</w:t>
            </w:r>
            <w:r w:rsidR="00C51E26">
              <w:rPr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1961" w:type="dxa"/>
          </w:tcPr>
          <w:p w:rsidR="00377841" w:rsidRDefault="00377841" w:rsidP="00D123AF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N=60</w:t>
            </w:r>
            <w:r w:rsidR="00265819">
              <w:rPr>
                <w:rFonts w:eastAsiaTheme="minorEastAsia"/>
                <w:sz w:val="22"/>
                <w:szCs w:val="22"/>
              </w:rPr>
              <w:t xml:space="preserve">. </w:t>
            </w:r>
            <w:r>
              <w:rPr>
                <w:rFonts w:eastAsiaTheme="minorEastAsia"/>
                <w:sz w:val="22"/>
                <w:szCs w:val="22"/>
              </w:rPr>
              <w:t xml:space="preserve">30 </w:t>
            </w:r>
            <w:r w:rsidR="00586343" w:rsidRPr="009E49A5">
              <w:rPr>
                <w:rFonts w:eastAsiaTheme="minorEastAsia"/>
                <w:sz w:val="22"/>
                <w:szCs w:val="22"/>
              </w:rPr>
              <w:t xml:space="preserve"> young </w:t>
            </w:r>
            <w:r w:rsidR="00C51E26">
              <w:rPr>
                <w:rFonts w:eastAsiaTheme="minorEastAsia"/>
                <w:sz w:val="22"/>
                <w:szCs w:val="22"/>
              </w:rPr>
              <w:t xml:space="preserve">(average age 23.7 years) </w:t>
            </w:r>
            <w:r w:rsidR="00586343" w:rsidRPr="009E49A5">
              <w:rPr>
                <w:rFonts w:eastAsiaTheme="minorEastAsia"/>
                <w:sz w:val="22"/>
                <w:szCs w:val="22"/>
              </w:rPr>
              <w:t xml:space="preserve">and 30 older </w:t>
            </w:r>
            <w:r w:rsidR="00C51E26">
              <w:rPr>
                <w:rFonts w:eastAsiaTheme="minorEastAsia"/>
                <w:sz w:val="22"/>
                <w:szCs w:val="22"/>
              </w:rPr>
              <w:t>adults (average age 68.3 years)</w:t>
            </w:r>
          </w:p>
          <w:p w:rsidR="00377841" w:rsidRDefault="00377841" w:rsidP="00D123AF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  <w:p w:rsidR="00586343" w:rsidRPr="009E49A5" w:rsidRDefault="00377841" w:rsidP="00D123AF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All</w:t>
            </w:r>
            <w:r w:rsidR="00586343" w:rsidRPr="009E49A5">
              <w:rPr>
                <w:rFonts w:eastAsiaTheme="minorEastAsia"/>
                <w:sz w:val="22"/>
                <w:szCs w:val="22"/>
              </w:rPr>
              <w:t xml:space="preserve"> able-bodied</w:t>
            </w:r>
          </w:p>
          <w:p w:rsidR="00586343" w:rsidRPr="009E49A5" w:rsidRDefault="00377841" w:rsidP="00D123A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adults, capable of performing exercise.</w:t>
            </w:r>
          </w:p>
          <w:p w:rsidR="00586343" w:rsidRPr="009E49A5" w:rsidRDefault="00586343" w:rsidP="00D90710">
            <w:pPr>
              <w:rPr>
                <w:b/>
                <w:sz w:val="22"/>
                <w:szCs w:val="22"/>
              </w:rPr>
            </w:pPr>
          </w:p>
        </w:tc>
        <w:tc>
          <w:tcPr>
            <w:tcW w:w="2350" w:type="dxa"/>
          </w:tcPr>
          <w:p w:rsidR="00586343" w:rsidRPr="009E49A5" w:rsidRDefault="006F0B96" w:rsidP="00D123A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Each participant was taught and tested on the performance of their prescribed exercises individually. Exercises were taught in a random order via demonstration, verbal instruction and self-performance, with verbal cues.</w:t>
            </w:r>
          </w:p>
          <w:p w:rsidR="00586343" w:rsidRPr="009E49A5" w:rsidRDefault="00586343" w:rsidP="00D90710">
            <w:pPr>
              <w:rPr>
                <w:b/>
                <w:sz w:val="22"/>
                <w:szCs w:val="22"/>
              </w:rPr>
            </w:pPr>
          </w:p>
        </w:tc>
        <w:tc>
          <w:tcPr>
            <w:tcW w:w="2463" w:type="dxa"/>
          </w:tcPr>
          <w:p w:rsidR="00586343" w:rsidRPr="009E49A5" w:rsidRDefault="00586343" w:rsidP="006F0B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E49A5">
              <w:rPr>
                <w:rFonts w:eastAsiaTheme="minorEastAsia"/>
                <w:sz w:val="22"/>
                <w:szCs w:val="22"/>
              </w:rPr>
              <w:t xml:space="preserve">After </w:t>
            </w:r>
            <w:r w:rsidR="00E16EFB">
              <w:rPr>
                <w:rFonts w:eastAsiaTheme="minorEastAsia"/>
                <w:sz w:val="22"/>
                <w:szCs w:val="22"/>
              </w:rPr>
              <w:t xml:space="preserve">a </w:t>
            </w:r>
            <w:r w:rsidRPr="009E49A5">
              <w:rPr>
                <w:rFonts w:eastAsiaTheme="minorEastAsia"/>
                <w:sz w:val="22"/>
                <w:szCs w:val="22"/>
              </w:rPr>
              <w:t xml:space="preserve">30-minute </w:t>
            </w:r>
            <w:r w:rsidR="00A13691">
              <w:rPr>
                <w:rFonts w:eastAsiaTheme="minorEastAsia"/>
                <w:sz w:val="22"/>
                <w:szCs w:val="22"/>
              </w:rPr>
              <w:t>interval</w:t>
            </w:r>
            <w:r w:rsidR="00E16EFB">
              <w:rPr>
                <w:rFonts w:eastAsiaTheme="minorEastAsia"/>
                <w:sz w:val="22"/>
                <w:szCs w:val="22"/>
              </w:rPr>
              <w:t xml:space="preserve">, </w:t>
            </w:r>
            <w:r w:rsidR="00A13691">
              <w:rPr>
                <w:rFonts w:eastAsiaTheme="minorEastAsia"/>
                <w:sz w:val="22"/>
                <w:szCs w:val="22"/>
              </w:rPr>
              <w:t xml:space="preserve">participants were </w:t>
            </w:r>
            <w:r w:rsidR="00E16EFB">
              <w:rPr>
                <w:rFonts w:eastAsiaTheme="minorEastAsia"/>
                <w:sz w:val="22"/>
                <w:szCs w:val="22"/>
              </w:rPr>
              <w:t xml:space="preserve">asked to perform </w:t>
            </w:r>
            <w:r w:rsidRPr="009E49A5">
              <w:rPr>
                <w:rFonts w:eastAsiaTheme="minorEastAsia"/>
                <w:sz w:val="22"/>
                <w:szCs w:val="22"/>
              </w:rPr>
              <w:t>exercises from memory</w:t>
            </w:r>
            <w:r w:rsidR="00A13691">
              <w:rPr>
                <w:rFonts w:eastAsiaTheme="minorEastAsia"/>
                <w:sz w:val="22"/>
                <w:szCs w:val="22"/>
              </w:rPr>
              <w:t xml:space="preserve">. </w:t>
            </w:r>
            <w:r w:rsidR="00E16EFB">
              <w:rPr>
                <w:rFonts w:eastAsiaTheme="minorEastAsia"/>
                <w:sz w:val="22"/>
                <w:szCs w:val="22"/>
              </w:rPr>
              <w:t xml:space="preserve"> </w:t>
            </w:r>
            <w:r w:rsidR="006F0B96">
              <w:rPr>
                <w:rFonts w:eastAsiaTheme="minorEastAsia"/>
                <w:sz w:val="22"/>
                <w:szCs w:val="22"/>
              </w:rPr>
              <w:t>Assessment was based</w:t>
            </w:r>
            <w:r w:rsidRPr="009E49A5">
              <w:rPr>
                <w:rFonts w:eastAsiaTheme="minorEastAsia"/>
                <w:sz w:val="22"/>
                <w:szCs w:val="22"/>
              </w:rPr>
              <w:t xml:space="preserve"> on the number of</w:t>
            </w:r>
            <w:r w:rsidR="00E16EFB">
              <w:rPr>
                <w:rFonts w:eastAsiaTheme="minorEastAsia"/>
                <w:sz w:val="22"/>
                <w:szCs w:val="22"/>
              </w:rPr>
              <w:t xml:space="preserve"> </w:t>
            </w:r>
            <w:r w:rsidRPr="009E49A5">
              <w:rPr>
                <w:rFonts w:eastAsiaTheme="minorEastAsia"/>
                <w:sz w:val="22"/>
                <w:szCs w:val="22"/>
              </w:rPr>
              <w:t>exercises remembered and performed correctly according to a</w:t>
            </w:r>
            <w:r w:rsidR="00E16EFB">
              <w:rPr>
                <w:rFonts w:eastAsiaTheme="minorEastAsia"/>
                <w:sz w:val="22"/>
                <w:szCs w:val="22"/>
              </w:rPr>
              <w:t xml:space="preserve"> </w:t>
            </w:r>
            <w:r w:rsidR="00A13691">
              <w:rPr>
                <w:rFonts w:eastAsiaTheme="minorEastAsia"/>
                <w:sz w:val="22"/>
                <w:szCs w:val="22"/>
              </w:rPr>
              <w:t>criterion that included</w:t>
            </w:r>
            <w:r w:rsidR="00E16EFB">
              <w:rPr>
                <w:rFonts w:eastAsiaTheme="minorEastAsia"/>
                <w:sz w:val="22"/>
                <w:szCs w:val="22"/>
              </w:rPr>
              <w:t>:</w:t>
            </w:r>
            <w:r w:rsidR="00A13691">
              <w:rPr>
                <w:rFonts w:eastAsiaTheme="minorEastAsia"/>
                <w:sz w:val="22"/>
                <w:szCs w:val="22"/>
              </w:rPr>
              <w:t xml:space="preserve"> starting position, plane of movement, range and compensations.</w:t>
            </w:r>
          </w:p>
        </w:tc>
        <w:tc>
          <w:tcPr>
            <w:tcW w:w="5834" w:type="dxa"/>
            <w:gridSpan w:val="2"/>
          </w:tcPr>
          <w:p w:rsidR="00586343" w:rsidRPr="009E49A5" w:rsidRDefault="00586343" w:rsidP="00D123AF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9E49A5">
              <w:rPr>
                <w:rFonts w:eastAsiaTheme="minorEastAsia"/>
                <w:sz w:val="22"/>
                <w:szCs w:val="22"/>
              </w:rPr>
              <w:t>Younger participants correctly remembered more exercises than older participants</w:t>
            </w:r>
            <w:r w:rsidR="00377841">
              <w:rPr>
                <w:rFonts w:eastAsiaTheme="minorEastAsia"/>
                <w:sz w:val="22"/>
                <w:szCs w:val="22"/>
              </w:rPr>
              <w:t xml:space="preserve">. </w:t>
            </w:r>
            <w:r w:rsidRPr="009E49A5">
              <w:rPr>
                <w:rFonts w:eastAsiaTheme="minorEastAsia"/>
                <w:sz w:val="22"/>
                <w:szCs w:val="22"/>
              </w:rPr>
              <w:t xml:space="preserve"> </w:t>
            </w:r>
            <w:r w:rsidR="00377841">
              <w:rPr>
                <w:rFonts w:eastAsiaTheme="minorEastAsia"/>
                <w:sz w:val="22"/>
                <w:szCs w:val="22"/>
              </w:rPr>
              <w:t>E</w:t>
            </w:r>
            <w:r w:rsidRPr="009E49A5">
              <w:rPr>
                <w:rFonts w:eastAsiaTheme="minorEastAsia"/>
                <w:sz w:val="22"/>
                <w:szCs w:val="22"/>
              </w:rPr>
              <w:t>xercises from the short list</w:t>
            </w:r>
            <w:r w:rsidR="00E16EFB">
              <w:rPr>
                <w:rFonts w:eastAsiaTheme="minorEastAsia"/>
                <w:sz w:val="22"/>
                <w:szCs w:val="22"/>
              </w:rPr>
              <w:t xml:space="preserve"> (5)</w:t>
            </w:r>
            <w:r w:rsidRPr="009E49A5">
              <w:rPr>
                <w:rFonts w:eastAsiaTheme="minorEastAsia"/>
                <w:sz w:val="22"/>
                <w:szCs w:val="22"/>
              </w:rPr>
              <w:t xml:space="preserve"> were remembered better than exercises from the long list</w:t>
            </w:r>
            <w:r w:rsidR="00E16EFB">
              <w:rPr>
                <w:rFonts w:eastAsiaTheme="minorEastAsia"/>
                <w:sz w:val="22"/>
                <w:szCs w:val="22"/>
              </w:rPr>
              <w:t xml:space="preserve"> (10)</w:t>
            </w:r>
            <w:r w:rsidRPr="009E49A5">
              <w:rPr>
                <w:rFonts w:eastAsiaTheme="minorEastAsia"/>
                <w:sz w:val="22"/>
                <w:szCs w:val="22"/>
              </w:rPr>
              <w:t xml:space="preserve">. </w:t>
            </w:r>
            <w:r w:rsidR="006F0B96">
              <w:rPr>
                <w:rFonts w:eastAsiaTheme="minorEastAsia"/>
                <w:sz w:val="22"/>
                <w:szCs w:val="22"/>
              </w:rPr>
              <w:t>The older group</w:t>
            </w:r>
            <w:r w:rsidRPr="009E49A5">
              <w:rPr>
                <w:rFonts w:eastAsiaTheme="minorEastAsia"/>
                <w:sz w:val="22"/>
                <w:szCs w:val="22"/>
              </w:rPr>
              <w:t xml:space="preserve"> showed a significant difference between exercises correctly remembered f</w:t>
            </w:r>
            <w:r w:rsidR="00377841">
              <w:rPr>
                <w:rFonts w:eastAsiaTheme="minorEastAsia"/>
                <w:sz w:val="22"/>
                <w:szCs w:val="22"/>
              </w:rPr>
              <w:t>rom the short</w:t>
            </w:r>
            <w:r w:rsidR="00A13691">
              <w:rPr>
                <w:rFonts w:eastAsiaTheme="minorEastAsia"/>
                <w:sz w:val="22"/>
                <w:szCs w:val="22"/>
              </w:rPr>
              <w:t xml:space="preserve"> (89%)</w:t>
            </w:r>
            <w:r w:rsidR="00377841">
              <w:rPr>
                <w:rFonts w:eastAsiaTheme="minorEastAsia"/>
                <w:sz w:val="22"/>
                <w:szCs w:val="22"/>
              </w:rPr>
              <w:t xml:space="preserve"> and long </w:t>
            </w:r>
            <w:r w:rsidR="00E16EFB">
              <w:rPr>
                <w:rFonts w:eastAsiaTheme="minorEastAsia"/>
                <w:sz w:val="22"/>
                <w:szCs w:val="22"/>
              </w:rPr>
              <w:t xml:space="preserve">(63%) </w:t>
            </w:r>
            <w:r w:rsidR="00377841">
              <w:rPr>
                <w:rFonts w:eastAsiaTheme="minorEastAsia"/>
                <w:sz w:val="22"/>
                <w:szCs w:val="22"/>
              </w:rPr>
              <w:t>lists</w:t>
            </w:r>
            <w:r w:rsidR="00A13691">
              <w:rPr>
                <w:rFonts w:eastAsiaTheme="minorEastAsia"/>
                <w:sz w:val="22"/>
                <w:szCs w:val="22"/>
              </w:rPr>
              <w:t xml:space="preserve"> </w:t>
            </w:r>
            <w:r w:rsidR="00377841">
              <w:rPr>
                <w:rFonts w:eastAsiaTheme="minorEastAsia"/>
                <w:sz w:val="22"/>
                <w:szCs w:val="22"/>
              </w:rPr>
              <w:t>while</w:t>
            </w:r>
            <w:r w:rsidRPr="009E49A5">
              <w:rPr>
                <w:rFonts w:eastAsiaTheme="minorEastAsia"/>
                <w:sz w:val="22"/>
                <w:szCs w:val="22"/>
              </w:rPr>
              <w:t xml:space="preserve"> younger </w:t>
            </w:r>
            <w:r w:rsidR="006F0B96">
              <w:rPr>
                <w:rFonts w:eastAsiaTheme="minorEastAsia"/>
                <w:sz w:val="22"/>
                <w:szCs w:val="22"/>
              </w:rPr>
              <w:t>group</w:t>
            </w:r>
            <w:r w:rsidRPr="009E49A5">
              <w:rPr>
                <w:rFonts w:eastAsiaTheme="minorEastAsia"/>
                <w:sz w:val="22"/>
                <w:szCs w:val="22"/>
              </w:rPr>
              <w:t xml:space="preserve"> did not. There was no significant difference between </w:t>
            </w:r>
            <w:r w:rsidR="00E16EFB">
              <w:rPr>
                <w:rFonts w:eastAsiaTheme="minorEastAsia"/>
                <w:sz w:val="22"/>
                <w:szCs w:val="22"/>
              </w:rPr>
              <w:t xml:space="preserve">groups </w:t>
            </w:r>
            <w:r w:rsidRPr="009E49A5">
              <w:rPr>
                <w:rFonts w:eastAsiaTheme="minorEastAsia"/>
                <w:sz w:val="22"/>
                <w:szCs w:val="22"/>
              </w:rPr>
              <w:t xml:space="preserve">for </w:t>
            </w:r>
            <w:r w:rsidR="00E16EFB">
              <w:rPr>
                <w:rFonts w:eastAsiaTheme="minorEastAsia"/>
                <w:sz w:val="22"/>
                <w:szCs w:val="22"/>
              </w:rPr>
              <w:t xml:space="preserve">memory of </w:t>
            </w:r>
            <w:r w:rsidRPr="009E49A5">
              <w:rPr>
                <w:rFonts w:eastAsiaTheme="minorEastAsia"/>
                <w:sz w:val="22"/>
                <w:szCs w:val="22"/>
              </w:rPr>
              <w:t xml:space="preserve">exercises </w:t>
            </w:r>
            <w:r w:rsidR="00A13691">
              <w:rPr>
                <w:rFonts w:eastAsiaTheme="minorEastAsia"/>
                <w:sz w:val="22"/>
                <w:szCs w:val="22"/>
              </w:rPr>
              <w:t xml:space="preserve">from the short list, </w:t>
            </w:r>
            <w:r w:rsidRPr="009E49A5">
              <w:rPr>
                <w:rFonts w:eastAsiaTheme="minorEastAsia"/>
                <w:sz w:val="22"/>
                <w:szCs w:val="22"/>
              </w:rPr>
              <w:t xml:space="preserve">but there was a difference </w:t>
            </w:r>
            <w:r w:rsidR="00E16EFB">
              <w:rPr>
                <w:rFonts w:eastAsiaTheme="minorEastAsia"/>
                <w:sz w:val="22"/>
                <w:szCs w:val="22"/>
              </w:rPr>
              <w:t>between groups</w:t>
            </w:r>
            <w:r w:rsidRPr="009E49A5">
              <w:rPr>
                <w:rFonts w:eastAsiaTheme="minorEastAsia"/>
                <w:sz w:val="22"/>
                <w:szCs w:val="22"/>
              </w:rPr>
              <w:t xml:space="preserve"> for exercises from the long list</w:t>
            </w:r>
            <w:r w:rsidR="00A13691">
              <w:rPr>
                <w:rFonts w:eastAsiaTheme="minorEastAsia"/>
                <w:sz w:val="22"/>
                <w:szCs w:val="22"/>
              </w:rPr>
              <w:t>.</w:t>
            </w:r>
          </w:p>
          <w:p w:rsidR="00586343" w:rsidRPr="009E49A5" w:rsidRDefault="00586343" w:rsidP="00D123AF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  <w:p w:rsidR="00586343" w:rsidRPr="009E49A5" w:rsidRDefault="00265819" w:rsidP="00A1369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Exercise quantity should be minimized when teaching older adults exercises to perform at home.</w:t>
            </w:r>
            <w:r w:rsidR="00586343" w:rsidRPr="009E49A5">
              <w:rPr>
                <w:rFonts w:eastAsiaTheme="minorEastAsia"/>
                <w:sz w:val="22"/>
                <w:szCs w:val="22"/>
              </w:rPr>
              <w:t xml:space="preserve"> </w:t>
            </w:r>
          </w:p>
        </w:tc>
      </w:tr>
    </w:tbl>
    <w:p w:rsidR="00A13691" w:rsidRDefault="00A13691" w:rsidP="0087432C">
      <w:pPr>
        <w:spacing w:before="100" w:beforeAutospacing="1" w:after="100" w:afterAutospacing="1"/>
        <w:jc w:val="center"/>
        <w:rPr>
          <w:color w:val="000000"/>
          <w:sz w:val="22"/>
          <w:szCs w:val="22"/>
        </w:rPr>
      </w:pPr>
    </w:p>
    <w:p w:rsidR="0087432C" w:rsidRPr="00265819" w:rsidRDefault="0087432C" w:rsidP="0087432C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265819">
        <w:rPr>
          <w:b/>
          <w:color w:val="000000"/>
          <w:sz w:val="28"/>
          <w:szCs w:val="28"/>
        </w:rPr>
        <w:t>References</w:t>
      </w:r>
    </w:p>
    <w:p w:rsidR="0087432C" w:rsidRPr="006F0B96" w:rsidRDefault="0087432C" w:rsidP="0087432C">
      <w:pPr>
        <w:spacing w:before="100" w:beforeAutospacing="1" w:after="100" w:afterAutospacing="1" w:line="480" w:lineRule="auto"/>
        <w:ind w:left="450" w:hanging="450"/>
        <w:rPr>
          <w:color w:val="000000"/>
        </w:rPr>
      </w:pPr>
      <w:r w:rsidRPr="006F0B96">
        <w:rPr>
          <w:color w:val="000000"/>
        </w:rPr>
        <w:t>Henry, K. D., Rosemond, C., &amp; Eckert, L. B. (1999). Effect of number of home exercises on compliance and performance in adults over 65 years of age.</w:t>
      </w:r>
      <w:r w:rsidRPr="006F0B96">
        <w:rPr>
          <w:i/>
          <w:iCs/>
          <w:color w:val="000000"/>
        </w:rPr>
        <w:t> Physical Therapy, 79</w:t>
      </w:r>
      <w:r w:rsidRPr="006F0B96">
        <w:rPr>
          <w:color w:val="000000"/>
        </w:rPr>
        <w:t>(3), 270-277.</w:t>
      </w:r>
    </w:p>
    <w:p w:rsidR="0087432C" w:rsidRPr="006F0B96" w:rsidRDefault="0087432C" w:rsidP="0087432C">
      <w:pPr>
        <w:spacing w:before="100" w:beforeAutospacing="1" w:after="100" w:afterAutospacing="1" w:line="480" w:lineRule="auto"/>
        <w:ind w:left="450" w:hanging="450"/>
        <w:rPr>
          <w:color w:val="000000"/>
        </w:rPr>
      </w:pPr>
      <w:r w:rsidRPr="006F0B96">
        <w:rPr>
          <w:color w:val="000000"/>
        </w:rPr>
        <w:t>Rastall, M., Brooks, B., Klarneta, M., Moylan, N., McCloud, W., &amp; Tracey, S. (1999). An investigation into younger and older adults' memory for physiotherapy exercises.</w:t>
      </w:r>
      <w:r w:rsidRPr="006F0B96">
        <w:rPr>
          <w:i/>
          <w:iCs/>
          <w:color w:val="000000"/>
        </w:rPr>
        <w:t> Physiotherapy, 85</w:t>
      </w:r>
      <w:r w:rsidRPr="006F0B96">
        <w:rPr>
          <w:color w:val="000000"/>
        </w:rPr>
        <w:t>(3), 122-128.</w:t>
      </w:r>
    </w:p>
    <w:p w:rsidR="0056580C" w:rsidRPr="00A13691" w:rsidRDefault="0056580C" w:rsidP="00D80C40">
      <w:pPr>
        <w:spacing w:before="100" w:beforeAutospacing="1" w:after="100" w:afterAutospacing="1" w:line="480" w:lineRule="auto"/>
        <w:ind w:left="450" w:hanging="450"/>
        <w:rPr>
          <w:b/>
          <w:sz w:val="22"/>
          <w:szCs w:val="22"/>
        </w:rPr>
      </w:pPr>
    </w:p>
    <w:sectPr w:rsidR="0056580C" w:rsidRPr="00A13691" w:rsidSect="00B779E6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638D8"/>
    <w:multiLevelType w:val="multilevel"/>
    <w:tmpl w:val="EB3E3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D36A3"/>
    <w:multiLevelType w:val="multilevel"/>
    <w:tmpl w:val="950A0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476576"/>
    <w:multiLevelType w:val="multilevel"/>
    <w:tmpl w:val="57748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ED"/>
    <w:rsid w:val="00005A1A"/>
    <w:rsid w:val="00012B41"/>
    <w:rsid w:val="00021335"/>
    <w:rsid w:val="000705FA"/>
    <w:rsid w:val="0008031A"/>
    <w:rsid w:val="000E58B9"/>
    <w:rsid w:val="000F1816"/>
    <w:rsid w:val="00104BCF"/>
    <w:rsid w:val="00112D7F"/>
    <w:rsid w:val="00126D4C"/>
    <w:rsid w:val="001634B2"/>
    <w:rsid w:val="001726EA"/>
    <w:rsid w:val="001A3677"/>
    <w:rsid w:val="001D58F9"/>
    <w:rsid w:val="001E29E7"/>
    <w:rsid w:val="001F2C39"/>
    <w:rsid w:val="001F6515"/>
    <w:rsid w:val="00212D2D"/>
    <w:rsid w:val="00217A3F"/>
    <w:rsid w:val="00265819"/>
    <w:rsid w:val="00272F00"/>
    <w:rsid w:val="002A329A"/>
    <w:rsid w:val="002B0D18"/>
    <w:rsid w:val="002B52AC"/>
    <w:rsid w:val="002B6D11"/>
    <w:rsid w:val="002C7F6B"/>
    <w:rsid w:val="002D598B"/>
    <w:rsid w:val="002F3F1D"/>
    <w:rsid w:val="0030372E"/>
    <w:rsid w:val="00325BB3"/>
    <w:rsid w:val="00331DB1"/>
    <w:rsid w:val="00333688"/>
    <w:rsid w:val="0037072A"/>
    <w:rsid w:val="00374FA8"/>
    <w:rsid w:val="00377841"/>
    <w:rsid w:val="003C6813"/>
    <w:rsid w:val="003C6BAA"/>
    <w:rsid w:val="003E20DC"/>
    <w:rsid w:val="004072D8"/>
    <w:rsid w:val="00414843"/>
    <w:rsid w:val="00480D8E"/>
    <w:rsid w:val="0048786B"/>
    <w:rsid w:val="004A0A62"/>
    <w:rsid w:val="004A6444"/>
    <w:rsid w:val="004B0986"/>
    <w:rsid w:val="004B3DFA"/>
    <w:rsid w:val="004D430F"/>
    <w:rsid w:val="004E1BA4"/>
    <w:rsid w:val="004F0F3F"/>
    <w:rsid w:val="004F4674"/>
    <w:rsid w:val="00511798"/>
    <w:rsid w:val="00514CC6"/>
    <w:rsid w:val="0052199B"/>
    <w:rsid w:val="00524AC1"/>
    <w:rsid w:val="005441EF"/>
    <w:rsid w:val="00557D0B"/>
    <w:rsid w:val="0056580C"/>
    <w:rsid w:val="00565DCF"/>
    <w:rsid w:val="00567730"/>
    <w:rsid w:val="0057798A"/>
    <w:rsid w:val="00586343"/>
    <w:rsid w:val="005A2F45"/>
    <w:rsid w:val="005C649A"/>
    <w:rsid w:val="005C6EE3"/>
    <w:rsid w:val="005D7AD9"/>
    <w:rsid w:val="005F3BBB"/>
    <w:rsid w:val="005F4C11"/>
    <w:rsid w:val="005F4DFC"/>
    <w:rsid w:val="0060042C"/>
    <w:rsid w:val="006166F8"/>
    <w:rsid w:val="00623126"/>
    <w:rsid w:val="006838D2"/>
    <w:rsid w:val="00685BC8"/>
    <w:rsid w:val="0069341A"/>
    <w:rsid w:val="00696E99"/>
    <w:rsid w:val="006A63ED"/>
    <w:rsid w:val="006A6AF7"/>
    <w:rsid w:val="006B7BF7"/>
    <w:rsid w:val="006C3F76"/>
    <w:rsid w:val="006D0045"/>
    <w:rsid w:val="006D5EE1"/>
    <w:rsid w:val="006F0B96"/>
    <w:rsid w:val="006F15D9"/>
    <w:rsid w:val="006F2B36"/>
    <w:rsid w:val="007003A8"/>
    <w:rsid w:val="00707181"/>
    <w:rsid w:val="007113A5"/>
    <w:rsid w:val="007133F7"/>
    <w:rsid w:val="007148CC"/>
    <w:rsid w:val="00731BE6"/>
    <w:rsid w:val="00735884"/>
    <w:rsid w:val="00736A48"/>
    <w:rsid w:val="00740597"/>
    <w:rsid w:val="00747D06"/>
    <w:rsid w:val="00770AF7"/>
    <w:rsid w:val="00785AF4"/>
    <w:rsid w:val="00790DDF"/>
    <w:rsid w:val="007A25B1"/>
    <w:rsid w:val="007A2957"/>
    <w:rsid w:val="007A5E6B"/>
    <w:rsid w:val="007B4837"/>
    <w:rsid w:val="007D2F15"/>
    <w:rsid w:val="007D5C35"/>
    <w:rsid w:val="007E3F1A"/>
    <w:rsid w:val="00832D10"/>
    <w:rsid w:val="008349EB"/>
    <w:rsid w:val="00840649"/>
    <w:rsid w:val="00854E45"/>
    <w:rsid w:val="0087330B"/>
    <w:rsid w:val="0087432C"/>
    <w:rsid w:val="008763BC"/>
    <w:rsid w:val="00892B0E"/>
    <w:rsid w:val="008966A8"/>
    <w:rsid w:val="008B4473"/>
    <w:rsid w:val="008B5A80"/>
    <w:rsid w:val="008C067A"/>
    <w:rsid w:val="008C2541"/>
    <w:rsid w:val="008C3611"/>
    <w:rsid w:val="008D5D1C"/>
    <w:rsid w:val="008F38E3"/>
    <w:rsid w:val="00913955"/>
    <w:rsid w:val="00932CBC"/>
    <w:rsid w:val="009C1B26"/>
    <w:rsid w:val="009C41FE"/>
    <w:rsid w:val="009D373E"/>
    <w:rsid w:val="009E07C2"/>
    <w:rsid w:val="009E49A5"/>
    <w:rsid w:val="00A03D6D"/>
    <w:rsid w:val="00A13691"/>
    <w:rsid w:val="00A246C8"/>
    <w:rsid w:val="00A26D1F"/>
    <w:rsid w:val="00A30650"/>
    <w:rsid w:val="00A42F15"/>
    <w:rsid w:val="00A51CED"/>
    <w:rsid w:val="00A61FDE"/>
    <w:rsid w:val="00A640DB"/>
    <w:rsid w:val="00AB741D"/>
    <w:rsid w:val="00AE7BC9"/>
    <w:rsid w:val="00AF5511"/>
    <w:rsid w:val="00B47BBF"/>
    <w:rsid w:val="00B67BDB"/>
    <w:rsid w:val="00B779E6"/>
    <w:rsid w:val="00BC193A"/>
    <w:rsid w:val="00BD58FB"/>
    <w:rsid w:val="00BF570E"/>
    <w:rsid w:val="00C44DA9"/>
    <w:rsid w:val="00C51E26"/>
    <w:rsid w:val="00C64F64"/>
    <w:rsid w:val="00C72AB4"/>
    <w:rsid w:val="00C86A4E"/>
    <w:rsid w:val="00CA163B"/>
    <w:rsid w:val="00CC5F69"/>
    <w:rsid w:val="00CD79FD"/>
    <w:rsid w:val="00CE5DB6"/>
    <w:rsid w:val="00CE7393"/>
    <w:rsid w:val="00D123AF"/>
    <w:rsid w:val="00D13926"/>
    <w:rsid w:val="00D675BC"/>
    <w:rsid w:val="00D80C40"/>
    <w:rsid w:val="00D865DE"/>
    <w:rsid w:val="00D90710"/>
    <w:rsid w:val="00D95B0D"/>
    <w:rsid w:val="00DB1125"/>
    <w:rsid w:val="00DF3E76"/>
    <w:rsid w:val="00E13068"/>
    <w:rsid w:val="00E16EFB"/>
    <w:rsid w:val="00E23012"/>
    <w:rsid w:val="00E46649"/>
    <w:rsid w:val="00E55E07"/>
    <w:rsid w:val="00E84AC3"/>
    <w:rsid w:val="00EA297B"/>
    <w:rsid w:val="00EC3F6A"/>
    <w:rsid w:val="00EC6B66"/>
    <w:rsid w:val="00EE5AA5"/>
    <w:rsid w:val="00EE783C"/>
    <w:rsid w:val="00EF3B74"/>
    <w:rsid w:val="00F01967"/>
    <w:rsid w:val="00F83C5F"/>
    <w:rsid w:val="00FA7945"/>
    <w:rsid w:val="00FD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148C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148C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48C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148C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148CC"/>
    <w:rPr>
      <w:color w:val="0000FF"/>
      <w:u w:val="single"/>
    </w:rPr>
  </w:style>
  <w:style w:type="character" w:customStyle="1" w:styleId="action">
    <w:name w:val="action"/>
    <w:basedOn w:val="DefaultParagraphFont"/>
    <w:rsid w:val="007148CC"/>
  </w:style>
  <w:style w:type="paragraph" w:customStyle="1" w:styleId="a-plus-plus">
    <w:name w:val="a-plus-plus"/>
    <w:basedOn w:val="Normal"/>
    <w:rsid w:val="007148CC"/>
    <w:pPr>
      <w:spacing w:before="100" w:beforeAutospacing="1" w:after="100" w:afterAutospacing="1"/>
    </w:pPr>
  </w:style>
  <w:style w:type="character" w:customStyle="1" w:styleId="look-inside-badge">
    <w:name w:val="look-inside-badge"/>
    <w:basedOn w:val="DefaultParagraphFont"/>
    <w:rsid w:val="007148CC"/>
  </w:style>
  <w:style w:type="paragraph" w:styleId="BalloonText">
    <w:name w:val="Balloon Text"/>
    <w:basedOn w:val="Normal"/>
    <w:link w:val="BalloonTextChar"/>
    <w:uiPriority w:val="99"/>
    <w:semiHidden/>
    <w:unhideWhenUsed/>
    <w:rsid w:val="00714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8C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F2C3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80C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148C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148C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48C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148C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148CC"/>
    <w:rPr>
      <w:color w:val="0000FF"/>
      <w:u w:val="single"/>
    </w:rPr>
  </w:style>
  <w:style w:type="character" w:customStyle="1" w:styleId="action">
    <w:name w:val="action"/>
    <w:basedOn w:val="DefaultParagraphFont"/>
    <w:rsid w:val="007148CC"/>
  </w:style>
  <w:style w:type="paragraph" w:customStyle="1" w:styleId="a-plus-plus">
    <w:name w:val="a-plus-plus"/>
    <w:basedOn w:val="Normal"/>
    <w:rsid w:val="007148CC"/>
    <w:pPr>
      <w:spacing w:before="100" w:beforeAutospacing="1" w:after="100" w:afterAutospacing="1"/>
    </w:pPr>
  </w:style>
  <w:style w:type="character" w:customStyle="1" w:styleId="look-inside-badge">
    <w:name w:val="look-inside-badge"/>
    <w:basedOn w:val="DefaultParagraphFont"/>
    <w:rsid w:val="007148CC"/>
  </w:style>
  <w:style w:type="paragraph" w:styleId="BalloonText">
    <w:name w:val="Balloon Text"/>
    <w:basedOn w:val="Normal"/>
    <w:link w:val="BalloonTextChar"/>
    <w:uiPriority w:val="99"/>
    <w:semiHidden/>
    <w:unhideWhenUsed/>
    <w:rsid w:val="00714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8C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F2C3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80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9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2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576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6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12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2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5DE6D-A8AB-489D-8A55-5AA33EBB6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Jmac</cp:lastModifiedBy>
  <cp:revision>18</cp:revision>
  <dcterms:created xsi:type="dcterms:W3CDTF">2015-04-10T04:10:00Z</dcterms:created>
  <dcterms:modified xsi:type="dcterms:W3CDTF">2015-04-10T16:59:00Z</dcterms:modified>
</cp:coreProperties>
</file>