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030" w:type="dxa"/>
        <w:tblInd w:w="-365" w:type="dxa"/>
        <w:tblLayout w:type="fixed"/>
        <w:tblLook w:val="04A0" w:firstRow="1" w:lastRow="0" w:firstColumn="1" w:lastColumn="0" w:noHBand="0" w:noVBand="1"/>
      </w:tblPr>
      <w:tblGrid>
        <w:gridCol w:w="365"/>
        <w:gridCol w:w="1936"/>
        <w:gridCol w:w="4380"/>
        <w:gridCol w:w="4584"/>
        <w:gridCol w:w="3495"/>
        <w:gridCol w:w="270"/>
      </w:tblGrid>
      <w:tr w:rsidR="00C609F5" w:rsidRPr="000A7465" w14:paraId="11E8BD3A" w14:textId="77777777" w:rsidTr="00C609F5">
        <w:trPr>
          <w:trHeight w:val="287"/>
        </w:trPr>
        <w:tc>
          <w:tcPr>
            <w:tcW w:w="15030" w:type="dxa"/>
            <w:gridSpan w:val="6"/>
          </w:tcPr>
          <w:p w14:paraId="58D581FD" w14:textId="360000ED" w:rsidR="00AF03ED" w:rsidRPr="000A7465" w:rsidRDefault="00970540" w:rsidP="006E77A3">
            <w:pPr>
              <w:rPr>
                <w:rFonts w:ascii="Times New Roman" w:hAnsi="Times New Roman" w:cs="Times New Roman"/>
                <w:b/>
                <w:u w:val="single"/>
              </w:rPr>
            </w:pPr>
            <w:r w:rsidRPr="000A7465">
              <w:rPr>
                <w:rFonts w:ascii="Times New Roman" w:hAnsi="Times New Roman" w:cs="Times New Roman"/>
                <w:b/>
                <w:u w:val="single"/>
              </w:rPr>
              <w:t xml:space="preserve">Question 1:  What is the efficacy of the </w:t>
            </w:r>
            <w:r w:rsidR="001C194F" w:rsidRPr="000A7465">
              <w:rPr>
                <w:rFonts w:ascii="Times New Roman" w:hAnsi="Times New Roman" w:cs="Times New Roman"/>
                <w:b/>
                <w:u w:val="single"/>
              </w:rPr>
              <w:t>“</w:t>
            </w:r>
            <w:r w:rsidRPr="000A7465">
              <w:rPr>
                <w:rFonts w:ascii="Times New Roman" w:hAnsi="Times New Roman" w:cs="Times New Roman"/>
                <w:b/>
                <w:u w:val="single"/>
              </w:rPr>
              <w:t>11+</w:t>
            </w:r>
            <w:r w:rsidR="001C194F" w:rsidRPr="000A7465">
              <w:rPr>
                <w:rFonts w:ascii="Times New Roman" w:hAnsi="Times New Roman" w:cs="Times New Roman"/>
                <w:b/>
                <w:u w:val="single"/>
              </w:rPr>
              <w:t>”</w:t>
            </w:r>
            <w:r w:rsidRPr="000A7465">
              <w:rPr>
                <w:rFonts w:ascii="Times New Roman" w:hAnsi="Times New Roman" w:cs="Times New Roman"/>
                <w:b/>
                <w:u w:val="single"/>
              </w:rPr>
              <w:t xml:space="preserve"> injury preven</w:t>
            </w:r>
            <w:r w:rsidR="001C194F" w:rsidRPr="000A7465">
              <w:rPr>
                <w:rFonts w:ascii="Times New Roman" w:hAnsi="Times New Roman" w:cs="Times New Roman"/>
                <w:b/>
                <w:u w:val="single"/>
              </w:rPr>
              <w:t>tion program in reducing soccer-</w:t>
            </w:r>
            <w:r w:rsidRPr="000A7465">
              <w:rPr>
                <w:rFonts w:ascii="Times New Roman" w:hAnsi="Times New Roman" w:cs="Times New Roman"/>
                <w:b/>
                <w:u w:val="single"/>
              </w:rPr>
              <w:t>related injuries in amateur soccer players?</w:t>
            </w:r>
          </w:p>
        </w:tc>
      </w:tr>
      <w:tr w:rsidR="00FD3429" w:rsidRPr="000A7465" w14:paraId="746BDFE7" w14:textId="77777777" w:rsidTr="00C609F5">
        <w:trPr>
          <w:gridBefore w:val="1"/>
          <w:gridAfter w:val="1"/>
          <w:wBefore w:w="365" w:type="dxa"/>
          <w:wAfter w:w="270" w:type="dxa"/>
          <w:trHeight w:val="233"/>
        </w:trPr>
        <w:tc>
          <w:tcPr>
            <w:tcW w:w="1936" w:type="dxa"/>
          </w:tcPr>
          <w:p w14:paraId="782C349A" w14:textId="77777777" w:rsidR="00AC2FF0" w:rsidRPr="000A7465" w:rsidRDefault="00AC2FF0">
            <w:pPr>
              <w:rPr>
                <w:rFonts w:ascii="Times New Roman" w:hAnsi="Times New Roman" w:cs="Times New Roman"/>
                <w:b/>
                <w:sz w:val="18"/>
                <w:szCs w:val="18"/>
              </w:rPr>
            </w:pPr>
            <w:r w:rsidRPr="000A7465">
              <w:rPr>
                <w:rFonts w:ascii="Times New Roman" w:hAnsi="Times New Roman" w:cs="Times New Roman"/>
                <w:b/>
                <w:sz w:val="18"/>
                <w:szCs w:val="18"/>
              </w:rPr>
              <w:t>Study details</w:t>
            </w:r>
          </w:p>
        </w:tc>
        <w:tc>
          <w:tcPr>
            <w:tcW w:w="4380" w:type="dxa"/>
          </w:tcPr>
          <w:p w14:paraId="52EAF646" w14:textId="4D09A185" w:rsidR="00AC2FF0" w:rsidRPr="000A7465" w:rsidRDefault="00AC2FF0" w:rsidP="003C28EE">
            <w:pPr>
              <w:rPr>
                <w:rFonts w:ascii="Times New Roman" w:hAnsi="Times New Roman" w:cs="Times New Roman"/>
                <w:b/>
                <w:sz w:val="18"/>
                <w:szCs w:val="18"/>
              </w:rPr>
            </w:pPr>
            <w:r w:rsidRPr="000A7465">
              <w:rPr>
                <w:rFonts w:ascii="Times New Roman" w:hAnsi="Times New Roman" w:cs="Times New Roman"/>
                <w:b/>
                <w:sz w:val="18"/>
                <w:szCs w:val="18"/>
              </w:rPr>
              <w:t>Population and interventions</w:t>
            </w:r>
          </w:p>
        </w:tc>
        <w:tc>
          <w:tcPr>
            <w:tcW w:w="4584" w:type="dxa"/>
          </w:tcPr>
          <w:p w14:paraId="64A3C7E6" w14:textId="7FD5AC3F" w:rsidR="00AC2FF0" w:rsidRPr="000A7465" w:rsidRDefault="00AC2FF0" w:rsidP="00AC2FF0">
            <w:pPr>
              <w:rPr>
                <w:rFonts w:ascii="Times New Roman" w:hAnsi="Times New Roman" w:cs="Times New Roman"/>
                <w:b/>
                <w:sz w:val="18"/>
                <w:szCs w:val="18"/>
              </w:rPr>
            </w:pPr>
            <w:r w:rsidRPr="000A7465">
              <w:rPr>
                <w:rFonts w:ascii="Times New Roman" w:hAnsi="Times New Roman" w:cs="Times New Roman"/>
                <w:b/>
                <w:sz w:val="18"/>
                <w:szCs w:val="18"/>
              </w:rPr>
              <w:t xml:space="preserve">Relevant results </w:t>
            </w:r>
          </w:p>
        </w:tc>
        <w:tc>
          <w:tcPr>
            <w:tcW w:w="3495" w:type="dxa"/>
          </w:tcPr>
          <w:p w14:paraId="7A38BE42" w14:textId="54E211E7" w:rsidR="00AC2FF0" w:rsidRPr="000A7465" w:rsidRDefault="00AC2FF0" w:rsidP="006E77A3">
            <w:pPr>
              <w:rPr>
                <w:rFonts w:ascii="Times New Roman" w:hAnsi="Times New Roman" w:cs="Times New Roman"/>
                <w:b/>
                <w:sz w:val="18"/>
                <w:szCs w:val="18"/>
              </w:rPr>
            </w:pPr>
            <w:r w:rsidRPr="000A7465">
              <w:rPr>
                <w:rFonts w:ascii="Times New Roman" w:hAnsi="Times New Roman" w:cs="Times New Roman"/>
                <w:b/>
                <w:sz w:val="18"/>
                <w:szCs w:val="18"/>
              </w:rPr>
              <w:t>Conclusions/Limitations</w:t>
            </w:r>
          </w:p>
        </w:tc>
      </w:tr>
      <w:tr w:rsidR="00FD3429" w:rsidRPr="000A7465" w14:paraId="3E79765D" w14:textId="77777777" w:rsidTr="00C609F5">
        <w:trPr>
          <w:gridBefore w:val="1"/>
          <w:gridAfter w:val="1"/>
          <w:wBefore w:w="365" w:type="dxa"/>
          <w:wAfter w:w="270" w:type="dxa"/>
          <w:trHeight w:val="4769"/>
        </w:trPr>
        <w:tc>
          <w:tcPr>
            <w:tcW w:w="1936" w:type="dxa"/>
          </w:tcPr>
          <w:p w14:paraId="69798D0A" w14:textId="2AB22E2A" w:rsidR="00AC2FF0" w:rsidRPr="000A7465" w:rsidRDefault="00AC2FF0">
            <w:pPr>
              <w:rPr>
                <w:rFonts w:ascii="Times New Roman" w:hAnsi="Times New Roman" w:cs="Times New Roman"/>
                <w:sz w:val="18"/>
                <w:szCs w:val="18"/>
              </w:rPr>
            </w:pPr>
            <w:r w:rsidRPr="000A7465">
              <w:rPr>
                <w:rFonts w:ascii="Times New Roman" w:hAnsi="Times New Roman" w:cs="Times New Roman"/>
                <w:b/>
                <w:sz w:val="18"/>
                <w:szCs w:val="18"/>
              </w:rPr>
              <w:t>Author/Year</w:t>
            </w:r>
            <w:r w:rsidRPr="000A7465">
              <w:rPr>
                <w:rFonts w:ascii="Times New Roman" w:hAnsi="Times New Roman" w:cs="Times New Roman"/>
                <w:sz w:val="18"/>
                <w:szCs w:val="18"/>
              </w:rPr>
              <w:t xml:space="preserve">: </w:t>
            </w:r>
            <w:proofErr w:type="spellStart"/>
            <w:r w:rsidRPr="000A7465">
              <w:rPr>
                <w:rFonts w:ascii="Times New Roman" w:hAnsi="Times New Roman" w:cs="Times New Roman"/>
                <w:sz w:val="18"/>
                <w:szCs w:val="18"/>
              </w:rPr>
              <w:t>Soligard</w:t>
            </w:r>
            <w:proofErr w:type="spellEnd"/>
            <w:r w:rsidRPr="000A7465">
              <w:rPr>
                <w:rFonts w:ascii="Times New Roman" w:hAnsi="Times New Roman" w:cs="Times New Roman"/>
                <w:sz w:val="18"/>
                <w:szCs w:val="18"/>
              </w:rPr>
              <w:t xml:space="preserve"> (2008)</w:t>
            </w:r>
            <w:r w:rsidRPr="000A7465">
              <w:rPr>
                <w:rFonts w:ascii="Times New Roman" w:hAnsi="Times New Roman" w:cs="Times New Roman"/>
                <w:sz w:val="18"/>
                <w:szCs w:val="18"/>
              </w:rPr>
              <w:fldChar w:fldCharType="begin"/>
            </w:r>
            <w:r w:rsidR="009D18FB" w:rsidRPr="000A7465">
              <w:rPr>
                <w:rFonts w:ascii="Times New Roman" w:hAnsi="Times New Roman" w:cs="Times New Roman"/>
                <w:sz w:val="18"/>
                <w:szCs w:val="18"/>
              </w:rPr>
              <w:instrText>ADDIN F1000_CSL_CITATION&lt;~#@#~&gt;[{"DOI":"10.1136/bmj.a2469","First":false,"Last":false,"PMCID":"PMC2600961","PMID":"19066253","abstract":"&lt;strong&gt;OBJECTIVE:&lt;/strong&gt; To examine the effect of a comprehensive warm-up programme designed to reduce the risk of injuries in female youth football.&lt;br&gt;&lt;br&gt;&lt;strong&gt;DESIGN:&lt;/strong&gt; Cluster randomised controlled trial with clubs as the unit of randomisation.&lt;br&gt;&lt;br&gt;&lt;strong&gt;SETTING:&lt;/strong&gt; 125 football clubs from the south, east, and middle of Norway (65 clusters in the intervention group; 60 in the control group) followed for one league season (eight months).&lt;br&gt;&lt;br&gt;&lt;strong&gt;PARTICIPANTS:&lt;/strong&gt; 1892 female players aged 13-17 (1055 players in the intervention group; 837 players in the control group).&lt;br&gt;&lt;br&gt;&lt;strong&gt;INTERVENTION:&lt;/strong&gt; A comprehensive warm-up programme to improve strength, awareness, and neuromuscular control during static and dynamic movements.&lt;br&gt;&lt;br&gt;&lt;strong&gt;MAIN OUTCOME MEASURE:&lt;/strong&gt; Injuries to the lower extremity (foot, ankle, lower leg, knee, thigh, groin, and hip).&lt;br&gt;&lt;br&gt;&lt;strong&gt;RESULTS:&lt;/strong&gt; During one season, 264 players had relevant injuries: 121 players in the intervention group and 143 in the control group (rate ratio 0.71, 95% confidence interval 0.49 to 1.03). In the intervention group there was a significantly lower risk of injuries overall (0.68, 0.48 to 0.98), overuse injuries (0.47, 0.26 to 0.85), and severe injuries (0.55, 0.36 to 0.83).&lt;br&gt;&lt;br&gt;&lt;strong&gt;CONCLUSION:&lt;/strong&gt; Though the primary outcome of reduction in lower extremity injury did not reach significance, the risk of severe injuries, overuse injuries, and injuries overall was reduced. This indicates that a structured warm-up programme can prevent injuries in young female football players.&lt;br&gt;&lt;br&gt;&lt;strong&gt;TRIAL REGISTRATION:&lt;/strong&gt; ISRCTN10306290.","author":[{"family":"Soligard","given":"Torbjørn"},{"family":"Myklebust","given":"Grethe"},{"family":"Steffen","given":"Kathrin"},{"family":"Holme","given":"Ingar"},{"family":"Silvers","given":"Holly"},{"family":"Bizzini","given":"Mario"},{"family":"Junge","given":"Astrid"},{"family":"Dvorak","given":"Jiri"},{"family":"Bahr","given":"Roald"},{"family":"Andersen","given":"Thor Einar"}],"citation-label":"2595882","container-title":"BMJ (Clinical Research Ed.)","container-title-short":"BMJ","id":"2595882","invisible":false,"issued":{"date-parts":[["2008","12","9"]]},"journalAbbreviation":"BMJ","page":"a2469","suppress-author":false,"title":"Comprehensive warm-up programme to prevent injuries in young female footballers: cluster randomised controlled trial.","type":"article-journal","volume":"337"}]</w:instrText>
            </w:r>
            <w:r w:rsidRPr="000A7465">
              <w:rPr>
                <w:rFonts w:ascii="Times New Roman" w:hAnsi="Times New Roman" w:cs="Times New Roman"/>
                <w:sz w:val="18"/>
                <w:szCs w:val="18"/>
              </w:rPr>
              <w:fldChar w:fldCharType="separate"/>
            </w:r>
            <w:r w:rsidR="00502F90" w:rsidRPr="000A7465">
              <w:rPr>
                <w:rFonts w:ascii="Times New Roman" w:hAnsi="Times New Roman" w:cs="Times New Roman"/>
                <w:noProof/>
                <w:sz w:val="18"/>
                <w:szCs w:val="18"/>
                <w:vertAlign w:val="superscript"/>
              </w:rPr>
              <w:t>1</w:t>
            </w:r>
            <w:r w:rsidRPr="000A7465">
              <w:rPr>
                <w:rFonts w:ascii="Times New Roman" w:hAnsi="Times New Roman" w:cs="Times New Roman"/>
                <w:sz w:val="18"/>
                <w:szCs w:val="18"/>
              </w:rPr>
              <w:fldChar w:fldCharType="end"/>
            </w:r>
          </w:p>
          <w:p w14:paraId="772496AA" w14:textId="77777777" w:rsidR="00AC2FF0" w:rsidRPr="000A7465" w:rsidRDefault="00AC2FF0">
            <w:pPr>
              <w:rPr>
                <w:rFonts w:ascii="Times New Roman" w:hAnsi="Times New Roman" w:cs="Times New Roman"/>
                <w:sz w:val="18"/>
                <w:szCs w:val="18"/>
              </w:rPr>
            </w:pPr>
          </w:p>
          <w:p w14:paraId="51B4F663" w14:textId="77777777" w:rsidR="00AC2FF0" w:rsidRPr="000A7465" w:rsidRDefault="00AC2FF0">
            <w:pPr>
              <w:rPr>
                <w:rFonts w:ascii="Times New Roman" w:hAnsi="Times New Roman" w:cs="Times New Roman"/>
                <w:sz w:val="18"/>
                <w:szCs w:val="18"/>
              </w:rPr>
            </w:pPr>
            <w:r w:rsidRPr="000A7465">
              <w:rPr>
                <w:rFonts w:ascii="Times New Roman" w:hAnsi="Times New Roman" w:cs="Times New Roman"/>
                <w:b/>
                <w:sz w:val="18"/>
                <w:szCs w:val="18"/>
              </w:rPr>
              <w:t>Study Design</w:t>
            </w:r>
            <w:r w:rsidRPr="000A7465">
              <w:rPr>
                <w:rFonts w:ascii="Times New Roman" w:hAnsi="Times New Roman" w:cs="Times New Roman"/>
                <w:sz w:val="18"/>
                <w:szCs w:val="18"/>
              </w:rPr>
              <w:t>: cluster randomized controlled trial</w:t>
            </w:r>
          </w:p>
          <w:p w14:paraId="265D0CE8" w14:textId="77777777" w:rsidR="00AC2FF0" w:rsidRPr="000A7465" w:rsidRDefault="00AC2FF0">
            <w:pPr>
              <w:rPr>
                <w:rFonts w:ascii="Times New Roman" w:hAnsi="Times New Roman" w:cs="Times New Roman"/>
                <w:sz w:val="18"/>
                <w:szCs w:val="18"/>
              </w:rPr>
            </w:pPr>
          </w:p>
          <w:p w14:paraId="5AC4EB0F" w14:textId="77777777" w:rsidR="00AC2FF0" w:rsidRPr="000A7465" w:rsidRDefault="00AC2FF0">
            <w:pPr>
              <w:rPr>
                <w:rFonts w:ascii="Times New Roman" w:hAnsi="Times New Roman" w:cs="Times New Roman"/>
                <w:sz w:val="18"/>
                <w:szCs w:val="18"/>
              </w:rPr>
            </w:pPr>
            <w:r w:rsidRPr="000A7465">
              <w:rPr>
                <w:rFonts w:ascii="Times New Roman" w:hAnsi="Times New Roman" w:cs="Times New Roman"/>
                <w:b/>
                <w:sz w:val="18"/>
                <w:szCs w:val="18"/>
              </w:rPr>
              <w:t>Level of evidence</w:t>
            </w:r>
            <w:r w:rsidRPr="000A7465">
              <w:rPr>
                <w:rFonts w:ascii="Times New Roman" w:hAnsi="Times New Roman" w:cs="Times New Roman"/>
                <w:sz w:val="18"/>
                <w:szCs w:val="18"/>
              </w:rPr>
              <w:t>: 2b</w:t>
            </w:r>
          </w:p>
          <w:p w14:paraId="4F7A82ED" w14:textId="77777777" w:rsidR="00AC2FF0" w:rsidRPr="000A7465" w:rsidRDefault="00AC2FF0">
            <w:pPr>
              <w:rPr>
                <w:rFonts w:ascii="Times New Roman" w:hAnsi="Times New Roman" w:cs="Times New Roman"/>
                <w:sz w:val="18"/>
                <w:szCs w:val="18"/>
              </w:rPr>
            </w:pPr>
          </w:p>
          <w:p w14:paraId="29FDAE31" w14:textId="77777777" w:rsidR="00AC2FF0" w:rsidRPr="000A7465" w:rsidRDefault="00AC2FF0">
            <w:pPr>
              <w:rPr>
                <w:rFonts w:ascii="Times New Roman" w:hAnsi="Times New Roman" w:cs="Times New Roman"/>
                <w:sz w:val="18"/>
                <w:szCs w:val="18"/>
              </w:rPr>
            </w:pPr>
            <w:r w:rsidRPr="000A7465">
              <w:rPr>
                <w:rFonts w:ascii="Times New Roman" w:hAnsi="Times New Roman" w:cs="Times New Roman"/>
                <w:b/>
                <w:sz w:val="18"/>
                <w:szCs w:val="18"/>
              </w:rPr>
              <w:t>Risk of bias</w:t>
            </w:r>
            <w:r w:rsidRPr="000A7465">
              <w:rPr>
                <w:rFonts w:ascii="Times New Roman" w:hAnsi="Times New Roman" w:cs="Times New Roman"/>
                <w:sz w:val="18"/>
                <w:szCs w:val="18"/>
              </w:rPr>
              <w:t>: 6/10 (</w:t>
            </w:r>
            <w:proofErr w:type="spellStart"/>
            <w:r w:rsidRPr="000A7465">
              <w:rPr>
                <w:rFonts w:ascii="Times New Roman" w:hAnsi="Times New Roman" w:cs="Times New Roman"/>
                <w:sz w:val="18"/>
                <w:szCs w:val="18"/>
              </w:rPr>
              <w:t>PEDro</w:t>
            </w:r>
            <w:proofErr w:type="spellEnd"/>
            <w:r w:rsidRPr="000A7465">
              <w:rPr>
                <w:rFonts w:ascii="Times New Roman" w:hAnsi="Times New Roman" w:cs="Times New Roman"/>
                <w:sz w:val="18"/>
                <w:szCs w:val="18"/>
              </w:rPr>
              <w:t xml:space="preserve">) </w:t>
            </w:r>
          </w:p>
          <w:p w14:paraId="04105D74" w14:textId="77777777" w:rsidR="00AC2FF0" w:rsidRPr="000A7465" w:rsidRDefault="00AC2FF0">
            <w:pPr>
              <w:rPr>
                <w:rFonts w:ascii="Times New Roman" w:hAnsi="Times New Roman" w:cs="Times New Roman"/>
                <w:sz w:val="18"/>
                <w:szCs w:val="18"/>
              </w:rPr>
            </w:pPr>
          </w:p>
          <w:p w14:paraId="02DDE1D8" w14:textId="29097480" w:rsidR="00AC2FF0" w:rsidRPr="000A7465" w:rsidRDefault="00AC2FF0" w:rsidP="00FD1E6D">
            <w:pPr>
              <w:rPr>
                <w:rFonts w:ascii="Times New Roman" w:hAnsi="Times New Roman" w:cs="Times New Roman"/>
                <w:sz w:val="18"/>
                <w:szCs w:val="18"/>
              </w:rPr>
            </w:pPr>
            <w:r w:rsidRPr="000A7465">
              <w:rPr>
                <w:rFonts w:ascii="Times New Roman" w:hAnsi="Times New Roman" w:cs="Times New Roman"/>
                <w:b/>
                <w:sz w:val="18"/>
                <w:szCs w:val="18"/>
              </w:rPr>
              <w:t>Aim</w:t>
            </w:r>
            <w:r w:rsidRPr="000A7465">
              <w:rPr>
                <w:rFonts w:ascii="Times New Roman" w:hAnsi="Times New Roman" w:cs="Times New Roman"/>
                <w:sz w:val="18"/>
                <w:szCs w:val="18"/>
              </w:rPr>
              <w:t xml:space="preserve">: examine the effect of </w:t>
            </w:r>
            <w:r w:rsidR="00E42956">
              <w:rPr>
                <w:rFonts w:ascii="Times New Roman" w:hAnsi="Times New Roman" w:cs="Times New Roman"/>
                <w:sz w:val="18"/>
                <w:szCs w:val="18"/>
              </w:rPr>
              <w:t>the “</w:t>
            </w:r>
            <w:r w:rsidRPr="000A7465">
              <w:rPr>
                <w:rFonts w:ascii="Times New Roman" w:hAnsi="Times New Roman" w:cs="Times New Roman"/>
                <w:sz w:val="18"/>
                <w:szCs w:val="18"/>
              </w:rPr>
              <w:t>11+</w:t>
            </w:r>
            <w:r w:rsidR="00E42956">
              <w:rPr>
                <w:rFonts w:ascii="Times New Roman" w:hAnsi="Times New Roman" w:cs="Times New Roman"/>
                <w:sz w:val="18"/>
                <w:szCs w:val="18"/>
              </w:rPr>
              <w:t>”</w:t>
            </w:r>
            <w:r w:rsidRPr="000A7465">
              <w:rPr>
                <w:rFonts w:ascii="Times New Roman" w:hAnsi="Times New Roman" w:cs="Times New Roman"/>
                <w:sz w:val="18"/>
                <w:szCs w:val="18"/>
              </w:rPr>
              <w:t xml:space="preserve"> </w:t>
            </w:r>
            <w:r w:rsidR="00FD1E6D" w:rsidRPr="000A7465">
              <w:rPr>
                <w:rFonts w:ascii="Times New Roman" w:hAnsi="Times New Roman" w:cs="Times New Roman"/>
                <w:sz w:val="18"/>
                <w:szCs w:val="18"/>
              </w:rPr>
              <w:t>IPP on lower extremity injury rates</w:t>
            </w:r>
            <w:r w:rsidRPr="000A7465">
              <w:rPr>
                <w:rFonts w:ascii="Times New Roman" w:hAnsi="Times New Roman" w:cs="Times New Roman"/>
                <w:sz w:val="18"/>
                <w:szCs w:val="18"/>
              </w:rPr>
              <w:t xml:space="preserve"> in youth female soccer</w:t>
            </w:r>
            <w:r w:rsidR="00FD1E6D" w:rsidRPr="000A7465">
              <w:rPr>
                <w:rFonts w:ascii="Times New Roman" w:hAnsi="Times New Roman" w:cs="Times New Roman"/>
                <w:sz w:val="18"/>
                <w:szCs w:val="18"/>
              </w:rPr>
              <w:t xml:space="preserve"> players </w:t>
            </w:r>
          </w:p>
        </w:tc>
        <w:tc>
          <w:tcPr>
            <w:tcW w:w="4380" w:type="dxa"/>
          </w:tcPr>
          <w:p w14:paraId="47B9B10D" w14:textId="77777777" w:rsidR="009344FA" w:rsidRPr="000A7465" w:rsidRDefault="009344FA" w:rsidP="009344FA">
            <w:pPr>
              <w:rPr>
                <w:rFonts w:ascii="Times New Roman" w:hAnsi="Times New Roman" w:cs="Times New Roman"/>
                <w:sz w:val="18"/>
                <w:szCs w:val="18"/>
              </w:rPr>
            </w:pPr>
            <w:r w:rsidRPr="000A7465">
              <w:rPr>
                <w:rFonts w:ascii="Times New Roman" w:hAnsi="Times New Roman" w:cs="Times New Roman"/>
                <w:b/>
                <w:sz w:val="18"/>
                <w:szCs w:val="18"/>
              </w:rPr>
              <w:t>Control</w:t>
            </w:r>
            <w:r w:rsidRPr="000A7465">
              <w:rPr>
                <w:rFonts w:ascii="Times New Roman" w:hAnsi="Times New Roman" w:cs="Times New Roman"/>
                <w:sz w:val="18"/>
                <w:szCs w:val="18"/>
              </w:rPr>
              <w:t>: continue with traditional warmup routine</w:t>
            </w:r>
          </w:p>
          <w:p w14:paraId="39CA25DA" w14:textId="1E06D3FC" w:rsidR="009344FA" w:rsidRPr="000A7465" w:rsidRDefault="009344FA" w:rsidP="009344FA">
            <w:pPr>
              <w:rPr>
                <w:rFonts w:ascii="Times New Roman" w:hAnsi="Times New Roman" w:cs="Times New Roman"/>
                <w:sz w:val="18"/>
                <w:szCs w:val="18"/>
              </w:rPr>
            </w:pPr>
            <w:r w:rsidRPr="000A7465">
              <w:rPr>
                <w:rFonts w:ascii="Times New Roman" w:hAnsi="Times New Roman" w:cs="Times New Roman"/>
                <w:b/>
                <w:sz w:val="18"/>
                <w:szCs w:val="18"/>
              </w:rPr>
              <w:t>Intervention</w:t>
            </w:r>
            <w:r w:rsidRPr="000A7465">
              <w:rPr>
                <w:rFonts w:ascii="Times New Roman" w:hAnsi="Times New Roman" w:cs="Times New Roman"/>
                <w:sz w:val="18"/>
                <w:szCs w:val="18"/>
              </w:rPr>
              <w:t xml:space="preserve">: </w:t>
            </w:r>
            <w:r w:rsidR="001C194F" w:rsidRPr="000A7465">
              <w:rPr>
                <w:rFonts w:ascii="Times New Roman" w:hAnsi="Times New Roman" w:cs="Times New Roman"/>
                <w:sz w:val="18"/>
                <w:szCs w:val="18"/>
              </w:rPr>
              <w:t>“</w:t>
            </w:r>
            <w:r w:rsidRPr="000A7465">
              <w:rPr>
                <w:rFonts w:ascii="Times New Roman" w:hAnsi="Times New Roman" w:cs="Times New Roman"/>
                <w:sz w:val="18"/>
                <w:szCs w:val="18"/>
              </w:rPr>
              <w:t>11+</w:t>
            </w:r>
            <w:r w:rsidR="001C194F" w:rsidRPr="000A7465">
              <w:rPr>
                <w:rFonts w:ascii="Times New Roman" w:hAnsi="Times New Roman" w:cs="Times New Roman"/>
                <w:sz w:val="18"/>
                <w:szCs w:val="18"/>
              </w:rPr>
              <w:t>”</w:t>
            </w:r>
            <w:r w:rsidRPr="000A7465">
              <w:rPr>
                <w:rFonts w:ascii="Times New Roman" w:hAnsi="Times New Roman" w:cs="Times New Roman"/>
                <w:sz w:val="18"/>
                <w:szCs w:val="18"/>
              </w:rPr>
              <w:t xml:space="preserve"> </w:t>
            </w:r>
            <w:r w:rsidR="00504EDE" w:rsidRPr="000A7465">
              <w:rPr>
                <w:rFonts w:ascii="Times New Roman" w:hAnsi="Times New Roman" w:cs="Times New Roman"/>
                <w:sz w:val="18"/>
                <w:szCs w:val="18"/>
              </w:rPr>
              <w:t>IPP</w:t>
            </w:r>
          </w:p>
          <w:p w14:paraId="1E46DB9B" w14:textId="63727D9B" w:rsidR="009344FA" w:rsidRPr="000A7465" w:rsidRDefault="009344FA" w:rsidP="009344FA">
            <w:pPr>
              <w:pStyle w:val="ListParagraph"/>
              <w:numPr>
                <w:ilvl w:val="0"/>
                <w:numId w:val="2"/>
              </w:numPr>
              <w:rPr>
                <w:rFonts w:ascii="Times New Roman" w:hAnsi="Times New Roman" w:cs="Times New Roman"/>
                <w:sz w:val="18"/>
                <w:szCs w:val="18"/>
              </w:rPr>
            </w:pPr>
            <w:r w:rsidRPr="000A7465">
              <w:rPr>
                <w:rFonts w:ascii="Times New Roman" w:hAnsi="Times New Roman" w:cs="Times New Roman"/>
                <w:sz w:val="18"/>
                <w:szCs w:val="18"/>
              </w:rPr>
              <w:t xml:space="preserve">Captains and coaches instructed in protocol during 3-hour course prior to the season </w:t>
            </w:r>
          </w:p>
          <w:p w14:paraId="1F638388" w14:textId="77777777" w:rsidR="009344FA" w:rsidRPr="000A7465" w:rsidRDefault="009344FA">
            <w:pPr>
              <w:rPr>
                <w:rFonts w:ascii="Times New Roman" w:hAnsi="Times New Roman" w:cs="Times New Roman"/>
                <w:b/>
                <w:sz w:val="18"/>
                <w:szCs w:val="18"/>
              </w:rPr>
            </w:pPr>
          </w:p>
          <w:p w14:paraId="2C799469" w14:textId="63E5C940" w:rsidR="00AC2FF0" w:rsidRPr="000A7465" w:rsidRDefault="00AC2FF0">
            <w:pPr>
              <w:rPr>
                <w:rFonts w:ascii="Times New Roman" w:hAnsi="Times New Roman" w:cs="Times New Roman"/>
                <w:sz w:val="18"/>
                <w:szCs w:val="18"/>
              </w:rPr>
            </w:pPr>
            <w:r w:rsidRPr="000A7465">
              <w:rPr>
                <w:rFonts w:ascii="Times New Roman" w:hAnsi="Times New Roman" w:cs="Times New Roman"/>
                <w:b/>
                <w:sz w:val="18"/>
                <w:szCs w:val="18"/>
              </w:rPr>
              <w:t xml:space="preserve">Allocation: </w:t>
            </w:r>
            <w:r w:rsidRPr="000A7465">
              <w:rPr>
                <w:rFonts w:ascii="Times New Roman" w:hAnsi="Times New Roman" w:cs="Times New Roman"/>
                <w:sz w:val="18"/>
                <w:szCs w:val="18"/>
              </w:rPr>
              <w:t xml:space="preserve"> all teams from each club were randomly allocated into either treatment or control group</w:t>
            </w:r>
          </w:p>
          <w:p w14:paraId="4F3F44DA" w14:textId="77777777" w:rsidR="00AC2FF0" w:rsidRPr="000A7465" w:rsidRDefault="00AC2FF0">
            <w:pPr>
              <w:rPr>
                <w:rFonts w:ascii="Times New Roman" w:hAnsi="Times New Roman" w:cs="Times New Roman"/>
                <w:b/>
                <w:sz w:val="18"/>
                <w:szCs w:val="18"/>
              </w:rPr>
            </w:pPr>
          </w:p>
          <w:p w14:paraId="03BD1550" w14:textId="2F8395E5" w:rsidR="00AC2FF0" w:rsidRPr="000A7465" w:rsidRDefault="00AC2FF0">
            <w:pPr>
              <w:rPr>
                <w:rFonts w:ascii="Times New Roman" w:hAnsi="Times New Roman" w:cs="Times New Roman"/>
                <w:sz w:val="18"/>
                <w:szCs w:val="18"/>
              </w:rPr>
            </w:pPr>
            <w:r w:rsidRPr="000A7465">
              <w:rPr>
                <w:rFonts w:ascii="Times New Roman" w:hAnsi="Times New Roman" w:cs="Times New Roman"/>
                <w:b/>
                <w:sz w:val="18"/>
                <w:szCs w:val="18"/>
              </w:rPr>
              <w:t>Participants</w:t>
            </w:r>
            <w:r w:rsidRPr="000A7465">
              <w:rPr>
                <w:rFonts w:ascii="Times New Roman" w:hAnsi="Times New Roman" w:cs="Times New Roman"/>
                <w:sz w:val="18"/>
                <w:szCs w:val="18"/>
              </w:rPr>
              <w:t xml:space="preserve">: </w:t>
            </w:r>
            <w:r w:rsidR="00030EE2" w:rsidRPr="000A7465">
              <w:rPr>
                <w:rFonts w:ascii="Times New Roman" w:hAnsi="Times New Roman" w:cs="Times New Roman"/>
                <w:sz w:val="18"/>
                <w:szCs w:val="18"/>
              </w:rPr>
              <w:t>female players aged 13-17</w:t>
            </w:r>
            <w:r w:rsidRPr="000A7465">
              <w:rPr>
                <w:rFonts w:ascii="Times New Roman" w:hAnsi="Times New Roman" w:cs="Times New Roman"/>
                <w:sz w:val="18"/>
                <w:szCs w:val="18"/>
              </w:rPr>
              <w:t xml:space="preserve"> in Norway </w:t>
            </w:r>
          </w:p>
          <w:p w14:paraId="395A8458" w14:textId="2D2328A2" w:rsidR="00AC2FF0" w:rsidRPr="000A7465" w:rsidRDefault="00AC2FF0" w:rsidP="00B26A19">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rPr>
              <w:t xml:space="preserve">Intervention: 52 clubs (1055 players) </w:t>
            </w:r>
          </w:p>
          <w:p w14:paraId="38DAAACA" w14:textId="37D6DC5A" w:rsidR="00AC2FF0" w:rsidRPr="000A7465" w:rsidRDefault="00AC2FF0" w:rsidP="00B26A19">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rPr>
              <w:t>Control: 41 clubs (837 players)</w:t>
            </w:r>
          </w:p>
          <w:p w14:paraId="6093EB60" w14:textId="77777777" w:rsidR="00AC2FF0" w:rsidRPr="000A7465" w:rsidRDefault="00AC2FF0">
            <w:pPr>
              <w:rPr>
                <w:rFonts w:ascii="Times New Roman" w:hAnsi="Times New Roman" w:cs="Times New Roman"/>
                <w:sz w:val="18"/>
                <w:szCs w:val="18"/>
              </w:rPr>
            </w:pPr>
          </w:p>
          <w:p w14:paraId="17E702DE" w14:textId="194B0D3B" w:rsidR="00AC2FF0" w:rsidRPr="000A7465" w:rsidRDefault="00AC2FF0">
            <w:pPr>
              <w:rPr>
                <w:rFonts w:ascii="Times New Roman" w:hAnsi="Times New Roman" w:cs="Times New Roman"/>
                <w:sz w:val="18"/>
                <w:szCs w:val="18"/>
              </w:rPr>
            </w:pPr>
            <w:r w:rsidRPr="000A7465">
              <w:rPr>
                <w:rFonts w:ascii="Times New Roman" w:hAnsi="Times New Roman" w:cs="Times New Roman"/>
                <w:b/>
                <w:sz w:val="18"/>
                <w:szCs w:val="18"/>
              </w:rPr>
              <w:t>Study length</w:t>
            </w:r>
            <w:r w:rsidRPr="000A7465">
              <w:rPr>
                <w:rFonts w:ascii="Times New Roman" w:hAnsi="Times New Roman" w:cs="Times New Roman"/>
                <w:sz w:val="18"/>
                <w:szCs w:val="18"/>
              </w:rPr>
              <w:t xml:space="preserve">: 8-month season </w:t>
            </w:r>
          </w:p>
          <w:p w14:paraId="6CBABBB3" w14:textId="77777777" w:rsidR="00AC2FF0" w:rsidRPr="000A7465" w:rsidRDefault="00AC2FF0">
            <w:pPr>
              <w:rPr>
                <w:rFonts w:ascii="Times New Roman" w:hAnsi="Times New Roman" w:cs="Times New Roman"/>
                <w:sz w:val="18"/>
                <w:szCs w:val="18"/>
              </w:rPr>
            </w:pPr>
          </w:p>
          <w:p w14:paraId="316D3F6F" w14:textId="77777777" w:rsidR="00AC2FF0" w:rsidRPr="000A7465" w:rsidRDefault="00AC2FF0" w:rsidP="00AC2FF0">
            <w:pPr>
              <w:rPr>
                <w:rFonts w:ascii="Times New Roman" w:hAnsi="Times New Roman" w:cs="Times New Roman"/>
                <w:sz w:val="18"/>
                <w:szCs w:val="18"/>
              </w:rPr>
            </w:pPr>
            <w:r w:rsidRPr="000A7465">
              <w:rPr>
                <w:rFonts w:ascii="Times New Roman" w:hAnsi="Times New Roman" w:cs="Times New Roman"/>
                <w:b/>
                <w:sz w:val="18"/>
                <w:szCs w:val="18"/>
              </w:rPr>
              <w:t>Primary Outcome</w:t>
            </w:r>
            <w:r w:rsidRPr="000A7465">
              <w:rPr>
                <w:rFonts w:ascii="Times New Roman" w:hAnsi="Times New Roman" w:cs="Times New Roman"/>
                <w:sz w:val="18"/>
                <w:szCs w:val="18"/>
              </w:rPr>
              <w:t xml:space="preserve">: reported lower extremity injuries </w:t>
            </w:r>
          </w:p>
          <w:p w14:paraId="5ED6B560" w14:textId="69DADCF9" w:rsidR="00AC2FF0" w:rsidRPr="000A7465" w:rsidRDefault="00AC2FF0" w:rsidP="00AC2FF0">
            <w:pPr>
              <w:pStyle w:val="ListParagraph"/>
              <w:numPr>
                <w:ilvl w:val="0"/>
                <w:numId w:val="8"/>
              </w:numPr>
              <w:rPr>
                <w:rFonts w:ascii="Times New Roman" w:hAnsi="Times New Roman" w:cs="Times New Roman"/>
                <w:sz w:val="18"/>
                <w:szCs w:val="18"/>
              </w:rPr>
            </w:pPr>
            <w:r w:rsidRPr="000A7465">
              <w:rPr>
                <w:rFonts w:ascii="Times New Roman" w:hAnsi="Times New Roman" w:cs="Times New Roman"/>
                <w:sz w:val="18"/>
                <w:szCs w:val="18"/>
              </w:rPr>
              <w:t>Injury was defined as an event that caused the player to be “unable to fully participa</w:t>
            </w:r>
            <w:r w:rsidR="00FD3429" w:rsidRPr="000A7465">
              <w:rPr>
                <w:rFonts w:ascii="Times New Roman" w:hAnsi="Times New Roman" w:cs="Times New Roman"/>
                <w:sz w:val="18"/>
                <w:szCs w:val="18"/>
              </w:rPr>
              <w:t>te in the next match or training”</w:t>
            </w:r>
          </w:p>
        </w:tc>
        <w:tc>
          <w:tcPr>
            <w:tcW w:w="4584" w:type="dxa"/>
          </w:tcPr>
          <w:p w14:paraId="78DD1D60" w14:textId="6BDB8A52" w:rsidR="00AC2FF0" w:rsidRPr="000A7465" w:rsidRDefault="00AC2FF0" w:rsidP="009E1D5B">
            <w:pPr>
              <w:rPr>
                <w:rFonts w:ascii="Times New Roman" w:hAnsi="Times New Roman" w:cs="Times New Roman"/>
                <w:sz w:val="18"/>
                <w:szCs w:val="18"/>
              </w:rPr>
            </w:pPr>
            <w:r w:rsidRPr="000A7465">
              <w:rPr>
                <w:rFonts w:ascii="Times New Roman" w:hAnsi="Times New Roman" w:cs="Times New Roman"/>
                <w:b/>
                <w:sz w:val="18"/>
                <w:szCs w:val="18"/>
              </w:rPr>
              <w:t>Primary Outcome</w:t>
            </w:r>
            <w:r w:rsidRPr="000A7465">
              <w:rPr>
                <w:rFonts w:ascii="Times New Roman" w:hAnsi="Times New Roman" w:cs="Times New Roman"/>
                <w:sz w:val="18"/>
                <w:szCs w:val="18"/>
              </w:rPr>
              <w:t xml:space="preserve">: </w:t>
            </w:r>
            <w:r w:rsidR="00B04525" w:rsidRPr="000A7465">
              <w:rPr>
                <w:rFonts w:ascii="Times New Roman" w:hAnsi="Times New Roman" w:cs="Times New Roman"/>
                <w:sz w:val="18"/>
                <w:szCs w:val="18"/>
              </w:rPr>
              <w:t xml:space="preserve">incidence of </w:t>
            </w:r>
            <w:r w:rsidR="00504EDE" w:rsidRPr="000A7465">
              <w:rPr>
                <w:rFonts w:ascii="Times New Roman" w:hAnsi="Times New Roman" w:cs="Times New Roman"/>
                <w:sz w:val="18"/>
                <w:szCs w:val="18"/>
              </w:rPr>
              <w:t>LE</w:t>
            </w:r>
            <w:r w:rsidRPr="000A7465">
              <w:rPr>
                <w:rFonts w:ascii="Times New Roman" w:hAnsi="Times New Roman" w:cs="Times New Roman"/>
                <w:sz w:val="18"/>
                <w:szCs w:val="18"/>
              </w:rPr>
              <w:t xml:space="preserve"> injuries</w:t>
            </w:r>
          </w:p>
          <w:p w14:paraId="63451D0B" w14:textId="7EC4F34D" w:rsidR="00AC2FF0" w:rsidRPr="000A7465" w:rsidRDefault="00AC2FF0" w:rsidP="009E1D5B">
            <w:pPr>
              <w:pStyle w:val="ListParagraph"/>
              <w:numPr>
                <w:ilvl w:val="0"/>
                <w:numId w:val="9"/>
              </w:numPr>
              <w:rPr>
                <w:rFonts w:ascii="Times New Roman" w:hAnsi="Times New Roman" w:cs="Times New Roman"/>
                <w:sz w:val="18"/>
                <w:szCs w:val="18"/>
              </w:rPr>
            </w:pPr>
            <w:r w:rsidRPr="000A7465">
              <w:rPr>
                <w:rFonts w:ascii="Times New Roman" w:hAnsi="Times New Roman" w:cs="Times New Roman"/>
                <w:sz w:val="18"/>
                <w:szCs w:val="18"/>
              </w:rPr>
              <w:t xml:space="preserve">Intervention group: 161 </w:t>
            </w:r>
            <w:r w:rsidR="00F26338" w:rsidRPr="000A7465">
              <w:rPr>
                <w:rFonts w:ascii="Times New Roman" w:hAnsi="Times New Roman" w:cs="Times New Roman"/>
                <w:sz w:val="18"/>
                <w:szCs w:val="18"/>
              </w:rPr>
              <w:t xml:space="preserve">players with LE injuries </w:t>
            </w:r>
          </w:p>
          <w:p w14:paraId="33CF0AB2" w14:textId="64B6D871" w:rsidR="00AC2FF0" w:rsidRPr="000A7465" w:rsidRDefault="00AC2FF0" w:rsidP="009E1D5B">
            <w:pPr>
              <w:pStyle w:val="ListParagraph"/>
              <w:numPr>
                <w:ilvl w:val="0"/>
                <w:numId w:val="9"/>
              </w:numPr>
              <w:rPr>
                <w:rFonts w:ascii="Times New Roman" w:hAnsi="Times New Roman" w:cs="Times New Roman"/>
                <w:sz w:val="18"/>
                <w:szCs w:val="18"/>
              </w:rPr>
            </w:pPr>
            <w:r w:rsidRPr="000A7465">
              <w:rPr>
                <w:rFonts w:ascii="Times New Roman" w:hAnsi="Times New Roman" w:cs="Times New Roman"/>
                <w:sz w:val="18"/>
                <w:szCs w:val="18"/>
              </w:rPr>
              <w:t xml:space="preserve">Control group: 215 </w:t>
            </w:r>
            <w:r w:rsidR="00F26338" w:rsidRPr="000A7465">
              <w:rPr>
                <w:rFonts w:ascii="Times New Roman" w:hAnsi="Times New Roman" w:cs="Times New Roman"/>
                <w:sz w:val="18"/>
                <w:szCs w:val="18"/>
              </w:rPr>
              <w:t>players with LE injuries</w:t>
            </w:r>
          </w:p>
          <w:p w14:paraId="43C9BAA7" w14:textId="04D628B2" w:rsidR="00AC2FF0" w:rsidRPr="000A7465" w:rsidRDefault="00AC2FF0" w:rsidP="009E1D5B">
            <w:pPr>
              <w:pStyle w:val="ListParagraph"/>
              <w:numPr>
                <w:ilvl w:val="0"/>
                <w:numId w:val="9"/>
              </w:numPr>
              <w:rPr>
                <w:rFonts w:ascii="Times New Roman" w:hAnsi="Times New Roman" w:cs="Times New Roman"/>
                <w:sz w:val="18"/>
                <w:szCs w:val="18"/>
              </w:rPr>
            </w:pPr>
            <w:r w:rsidRPr="000A7465">
              <w:rPr>
                <w:rFonts w:ascii="Times New Roman" w:hAnsi="Times New Roman" w:cs="Times New Roman"/>
                <w:sz w:val="18"/>
                <w:szCs w:val="18"/>
              </w:rPr>
              <w:t>RR: 0.71 (95% CI .49-1.03); NNT 18</w:t>
            </w:r>
          </w:p>
          <w:p w14:paraId="3AF1951D" w14:textId="406A8D07" w:rsidR="00AC2FF0" w:rsidRPr="000A7465" w:rsidRDefault="00AC2FF0" w:rsidP="009E1D5B">
            <w:pPr>
              <w:pStyle w:val="ListParagraph"/>
              <w:numPr>
                <w:ilvl w:val="0"/>
                <w:numId w:val="9"/>
              </w:numPr>
              <w:rPr>
                <w:rFonts w:ascii="Times New Roman" w:hAnsi="Times New Roman" w:cs="Times New Roman"/>
                <w:sz w:val="18"/>
                <w:szCs w:val="18"/>
              </w:rPr>
            </w:pPr>
            <w:r w:rsidRPr="000A7465">
              <w:rPr>
                <w:rFonts w:ascii="Times New Roman" w:hAnsi="Times New Roman" w:cs="Times New Roman"/>
                <w:sz w:val="18"/>
                <w:szCs w:val="18"/>
              </w:rPr>
              <w:t>Overall incidence of injuries was 3.9 per 1000 game exposure hours and 1.9 per 1000 practice exposure hours.</w:t>
            </w:r>
          </w:p>
          <w:p w14:paraId="0F0D8A8D" w14:textId="77777777" w:rsidR="00AC2FF0" w:rsidRPr="000A7465" w:rsidRDefault="00AC2FF0" w:rsidP="004649F3">
            <w:pPr>
              <w:ind w:left="72"/>
              <w:rPr>
                <w:rFonts w:ascii="Times New Roman" w:hAnsi="Times New Roman" w:cs="Times New Roman"/>
                <w:sz w:val="18"/>
                <w:szCs w:val="18"/>
              </w:rPr>
            </w:pPr>
          </w:p>
          <w:p w14:paraId="410E527A" w14:textId="77777777" w:rsidR="00AC2FF0" w:rsidRPr="000A7465" w:rsidRDefault="00AC2FF0" w:rsidP="004649F3">
            <w:pPr>
              <w:ind w:left="72"/>
              <w:rPr>
                <w:rFonts w:ascii="Times New Roman" w:hAnsi="Times New Roman" w:cs="Times New Roman"/>
                <w:sz w:val="18"/>
                <w:szCs w:val="18"/>
              </w:rPr>
            </w:pPr>
            <w:r w:rsidRPr="000A7465">
              <w:rPr>
                <w:rFonts w:ascii="Times New Roman" w:hAnsi="Times New Roman" w:cs="Times New Roman"/>
                <w:b/>
                <w:sz w:val="18"/>
                <w:szCs w:val="18"/>
              </w:rPr>
              <w:t>Secondary Outcomes</w:t>
            </w:r>
            <w:r w:rsidRPr="000A7465">
              <w:rPr>
                <w:rFonts w:ascii="Times New Roman" w:hAnsi="Times New Roman" w:cs="Times New Roman"/>
                <w:sz w:val="18"/>
                <w:szCs w:val="18"/>
              </w:rPr>
              <w:t xml:space="preserve">: </w:t>
            </w:r>
          </w:p>
          <w:tbl>
            <w:tblPr>
              <w:tblStyle w:val="TableGrid"/>
              <w:tblW w:w="0" w:type="auto"/>
              <w:tblInd w:w="72" w:type="dxa"/>
              <w:tblLayout w:type="fixed"/>
              <w:tblLook w:val="04A0" w:firstRow="1" w:lastRow="0" w:firstColumn="1" w:lastColumn="0" w:noHBand="0" w:noVBand="1"/>
            </w:tblPr>
            <w:tblGrid>
              <w:gridCol w:w="1111"/>
              <w:gridCol w:w="668"/>
              <w:gridCol w:w="919"/>
              <w:gridCol w:w="794"/>
              <w:gridCol w:w="794"/>
            </w:tblGrid>
            <w:tr w:rsidR="00FD1E6D" w:rsidRPr="000A7465" w14:paraId="5834C65B" w14:textId="3827D89B" w:rsidTr="00C609F5">
              <w:tc>
                <w:tcPr>
                  <w:tcW w:w="1111" w:type="dxa"/>
                </w:tcPr>
                <w:p w14:paraId="18E723ED" w14:textId="503F7469" w:rsidR="00FD1E6D" w:rsidRPr="000A7465" w:rsidRDefault="00FD1E6D" w:rsidP="004649F3">
                  <w:pPr>
                    <w:rPr>
                      <w:rFonts w:ascii="Times New Roman" w:hAnsi="Times New Roman" w:cs="Times New Roman"/>
                      <w:b/>
                      <w:sz w:val="18"/>
                      <w:szCs w:val="18"/>
                    </w:rPr>
                  </w:pPr>
                  <w:r w:rsidRPr="000A7465">
                    <w:rPr>
                      <w:rFonts w:ascii="Times New Roman" w:hAnsi="Times New Roman" w:cs="Times New Roman"/>
                      <w:b/>
                      <w:sz w:val="18"/>
                      <w:szCs w:val="18"/>
                    </w:rPr>
                    <w:t>Injury type</w:t>
                  </w:r>
                </w:p>
              </w:tc>
              <w:tc>
                <w:tcPr>
                  <w:tcW w:w="668" w:type="dxa"/>
                </w:tcPr>
                <w:p w14:paraId="7659F910" w14:textId="2D61BC3C" w:rsidR="00FD1E6D" w:rsidRPr="000A7465" w:rsidRDefault="00FD1E6D" w:rsidP="004649F3">
                  <w:pPr>
                    <w:rPr>
                      <w:rFonts w:ascii="Times New Roman" w:hAnsi="Times New Roman" w:cs="Times New Roman"/>
                      <w:b/>
                      <w:sz w:val="18"/>
                      <w:szCs w:val="18"/>
                    </w:rPr>
                  </w:pPr>
                  <w:r w:rsidRPr="000A7465">
                    <w:rPr>
                      <w:rFonts w:ascii="Times New Roman" w:hAnsi="Times New Roman" w:cs="Times New Roman"/>
                      <w:b/>
                      <w:sz w:val="18"/>
                      <w:szCs w:val="18"/>
                    </w:rPr>
                    <w:t>RR</w:t>
                  </w:r>
                </w:p>
              </w:tc>
              <w:tc>
                <w:tcPr>
                  <w:tcW w:w="919" w:type="dxa"/>
                </w:tcPr>
                <w:p w14:paraId="74B4D3F8" w14:textId="197F0657" w:rsidR="00FD1E6D" w:rsidRPr="000A7465" w:rsidRDefault="00FD1E6D" w:rsidP="004649F3">
                  <w:pPr>
                    <w:rPr>
                      <w:rFonts w:ascii="Times New Roman" w:hAnsi="Times New Roman" w:cs="Times New Roman"/>
                      <w:b/>
                      <w:sz w:val="18"/>
                      <w:szCs w:val="18"/>
                    </w:rPr>
                  </w:pPr>
                  <w:r w:rsidRPr="000A7465">
                    <w:rPr>
                      <w:rFonts w:ascii="Times New Roman" w:hAnsi="Times New Roman" w:cs="Times New Roman"/>
                      <w:b/>
                      <w:sz w:val="18"/>
                      <w:szCs w:val="18"/>
                    </w:rPr>
                    <w:t>95% CI</w:t>
                  </w:r>
                </w:p>
              </w:tc>
              <w:tc>
                <w:tcPr>
                  <w:tcW w:w="794" w:type="dxa"/>
                </w:tcPr>
                <w:p w14:paraId="6BAD784A" w14:textId="39230874" w:rsidR="00FD1E6D" w:rsidRPr="000A7465" w:rsidRDefault="00FD1E6D" w:rsidP="004649F3">
                  <w:pPr>
                    <w:rPr>
                      <w:rFonts w:ascii="Times New Roman" w:hAnsi="Times New Roman" w:cs="Times New Roman"/>
                      <w:b/>
                      <w:sz w:val="18"/>
                      <w:szCs w:val="18"/>
                    </w:rPr>
                  </w:pPr>
                  <w:r w:rsidRPr="000A7465">
                    <w:rPr>
                      <w:rFonts w:ascii="Times New Roman" w:hAnsi="Times New Roman" w:cs="Times New Roman"/>
                      <w:b/>
                      <w:sz w:val="18"/>
                      <w:szCs w:val="18"/>
                    </w:rPr>
                    <w:t>p value</w:t>
                  </w:r>
                </w:p>
              </w:tc>
              <w:tc>
                <w:tcPr>
                  <w:tcW w:w="794" w:type="dxa"/>
                </w:tcPr>
                <w:p w14:paraId="78ECA1BF" w14:textId="1008239C" w:rsidR="00FD1E6D" w:rsidRPr="000A7465" w:rsidRDefault="00FD1E6D" w:rsidP="004649F3">
                  <w:pPr>
                    <w:rPr>
                      <w:rFonts w:ascii="Times New Roman" w:hAnsi="Times New Roman" w:cs="Times New Roman"/>
                      <w:b/>
                      <w:sz w:val="18"/>
                      <w:szCs w:val="18"/>
                    </w:rPr>
                  </w:pPr>
                  <w:r w:rsidRPr="000A7465">
                    <w:rPr>
                      <w:rFonts w:ascii="Times New Roman" w:hAnsi="Times New Roman" w:cs="Times New Roman"/>
                      <w:b/>
                      <w:sz w:val="18"/>
                      <w:szCs w:val="18"/>
                    </w:rPr>
                    <w:t>NNT</w:t>
                  </w:r>
                </w:p>
              </w:tc>
            </w:tr>
            <w:tr w:rsidR="00FD1E6D" w:rsidRPr="000A7465" w14:paraId="0EBA3E14" w14:textId="290607C3" w:rsidTr="00C609F5">
              <w:tc>
                <w:tcPr>
                  <w:tcW w:w="1111" w:type="dxa"/>
                </w:tcPr>
                <w:p w14:paraId="7BAA753C" w14:textId="612F76C5" w:rsidR="00FD1E6D" w:rsidRPr="000A7465" w:rsidRDefault="00FD1E6D" w:rsidP="00FD1E6D">
                  <w:pPr>
                    <w:rPr>
                      <w:rFonts w:ascii="Times New Roman" w:hAnsi="Times New Roman" w:cs="Times New Roman"/>
                      <w:sz w:val="18"/>
                      <w:szCs w:val="18"/>
                    </w:rPr>
                  </w:pPr>
                  <w:r w:rsidRPr="000A7465">
                    <w:rPr>
                      <w:rFonts w:ascii="Times New Roman" w:hAnsi="Times New Roman" w:cs="Times New Roman"/>
                      <w:sz w:val="18"/>
                      <w:szCs w:val="18"/>
                    </w:rPr>
                    <w:t xml:space="preserve">All </w:t>
                  </w:r>
                </w:p>
              </w:tc>
              <w:tc>
                <w:tcPr>
                  <w:tcW w:w="668" w:type="dxa"/>
                </w:tcPr>
                <w:p w14:paraId="55607961" w14:textId="234AC681" w:rsidR="00FD1E6D" w:rsidRPr="000A7465" w:rsidRDefault="00FD1E6D" w:rsidP="004649F3">
                  <w:pPr>
                    <w:rPr>
                      <w:rFonts w:ascii="Times New Roman" w:hAnsi="Times New Roman" w:cs="Times New Roman"/>
                      <w:sz w:val="18"/>
                      <w:szCs w:val="18"/>
                    </w:rPr>
                  </w:pPr>
                  <w:r w:rsidRPr="000A7465">
                    <w:rPr>
                      <w:rFonts w:ascii="Times New Roman" w:hAnsi="Times New Roman" w:cs="Times New Roman"/>
                      <w:sz w:val="18"/>
                      <w:szCs w:val="18"/>
                    </w:rPr>
                    <w:t>0.68</w:t>
                  </w:r>
                </w:p>
              </w:tc>
              <w:tc>
                <w:tcPr>
                  <w:tcW w:w="919" w:type="dxa"/>
                </w:tcPr>
                <w:p w14:paraId="711D5E5E" w14:textId="66E73561" w:rsidR="00FD1E6D" w:rsidRPr="000A7465" w:rsidRDefault="00FD1E6D" w:rsidP="004649F3">
                  <w:pPr>
                    <w:rPr>
                      <w:rFonts w:ascii="Times New Roman" w:hAnsi="Times New Roman" w:cs="Times New Roman"/>
                      <w:sz w:val="18"/>
                      <w:szCs w:val="18"/>
                    </w:rPr>
                  </w:pPr>
                  <w:r w:rsidRPr="000A7465">
                    <w:rPr>
                      <w:rFonts w:ascii="Times New Roman" w:hAnsi="Times New Roman" w:cs="Times New Roman"/>
                      <w:sz w:val="18"/>
                      <w:szCs w:val="18"/>
                    </w:rPr>
                    <w:t>0.48-0.98</w:t>
                  </w:r>
                </w:p>
              </w:tc>
              <w:tc>
                <w:tcPr>
                  <w:tcW w:w="794" w:type="dxa"/>
                </w:tcPr>
                <w:p w14:paraId="6764828E" w14:textId="0F0C623D" w:rsidR="00FD1E6D" w:rsidRPr="000A7465" w:rsidRDefault="00FD1E6D" w:rsidP="004649F3">
                  <w:pPr>
                    <w:rPr>
                      <w:rFonts w:ascii="Times New Roman" w:hAnsi="Times New Roman" w:cs="Times New Roman"/>
                      <w:sz w:val="18"/>
                      <w:szCs w:val="18"/>
                    </w:rPr>
                  </w:pPr>
                  <w:r w:rsidRPr="000A7465">
                    <w:rPr>
                      <w:rFonts w:ascii="Times New Roman" w:hAnsi="Times New Roman" w:cs="Times New Roman"/>
                      <w:sz w:val="18"/>
                      <w:szCs w:val="18"/>
                    </w:rPr>
                    <w:t>0.041*</w:t>
                  </w:r>
                </w:p>
              </w:tc>
              <w:tc>
                <w:tcPr>
                  <w:tcW w:w="794" w:type="dxa"/>
                </w:tcPr>
                <w:p w14:paraId="15F15CB4" w14:textId="1F46210B" w:rsidR="00FD1E6D" w:rsidRPr="000A7465" w:rsidRDefault="00FD1E6D" w:rsidP="004649F3">
                  <w:pPr>
                    <w:rPr>
                      <w:rFonts w:ascii="Times New Roman" w:hAnsi="Times New Roman" w:cs="Times New Roman"/>
                      <w:sz w:val="18"/>
                      <w:szCs w:val="18"/>
                    </w:rPr>
                  </w:pPr>
                  <w:r w:rsidRPr="000A7465">
                    <w:rPr>
                      <w:rFonts w:ascii="Times New Roman" w:hAnsi="Times New Roman" w:cs="Times New Roman"/>
                      <w:sz w:val="18"/>
                      <w:szCs w:val="18"/>
                    </w:rPr>
                    <w:t>15</w:t>
                  </w:r>
                </w:p>
              </w:tc>
            </w:tr>
            <w:tr w:rsidR="00FD1E6D" w:rsidRPr="000A7465" w14:paraId="5BF3C411" w14:textId="677E1412" w:rsidTr="00C609F5">
              <w:tc>
                <w:tcPr>
                  <w:tcW w:w="1111" w:type="dxa"/>
                </w:tcPr>
                <w:p w14:paraId="19EC378C" w14:textId="74EC49D7" w:rsidR="00FD1E6D" w:rsidRPr="000A7465" w:rsidRDefault="00FD1E6D" w:rsidP="00FD1E6D">
                  <w:pPr>
                    <w:rPr>
                      <w:rFonts w:ascii="Times New Roman" w:hAnsi="Times New Roman" w:cs="Times New Roman"/>
                      <w:sz w:val="18"/>
                      <w:szCs w:val="18"/>
                    </w:rPr>
                  </w:pPr>
                  <w:r w:rsidRPr="000A7465">
                    <w:rPr>
                      <w:rFonts w:ascii="Times New Roman" w:hAnsi="Times New Roman" w:cs="Times New Roman"/>
                      <w:sz w:val="18"/>
                      <w:szCs w:val="18"/>
                    </w:rPr>
                    <w:t xml:space="preserve">Overuse </w:t>
                  </w:r>
                </w:p>
              </w:tc>
              <w:tc>
                <w:tcPr>
                  <w:tcW w:w="668" w:type="dxa"/>
                </w:tcPr>
                <w:p w14:paraId="161BA4C4" w14:textId="606E702C" w:rsidR="00FD1E6D" w:rsidRPr="000A7465" w:rsidRDefault="00FD1E6D" w:rsidP="004649F3">
                  <w:pPr>
                    <w:rPr>
                      <w:rFonts w:ascii="Times New Roman" w:hAnsi="Times New Roman" w:cs="Times New Roman"/>
                      <w:sz w:val="18"/>
                      <w:szCs w:val="18"/>
                    </w:rPr>
                  </w:pPr>
                  <w:r w:rsidRPr="000A7465">
                    <w:rPr>
                      <w:rFonts w:ascii="Times New Roman" w:hAnsi="Times New Roman" w:cs="Times New Roman"/>
                      <w:sz w:val="18"/>
                      <w:szCs w:val="18"/>
                    </w:rPr>
                    <w:t>0.47</w:t>
                  </w:r>
                </w:p>
              </w:tc>
              <w:tc>
                <w:tcPr>
                  <w:tcW w:w="919" w:type="dxa"/>
                </w:tcPr>
                <w:p w14:paraId="3D8CC1CE" w14:textId="07D22546" w:rsidR="00FD1E6D" w:rsidRPr="000A7465" w:rsidRDefault="00FD1E6D" w:rsidP="004649F3">
                  <w:pPr>
                    <w:rPr>
                      <w:rFonts w:ascii="Times New Roman" w:hAnsi="Times New Roman" w:cs="Times New Roman"/>
                      <w:sz w:val="18"/>
                      <w:szCs w:val="18"/>
                    </w:rPr>
                  </w:pPr>
                  <w:r w:rsidRPr="000A7465">
                    <w:rPr>
                      <w:rFonts w:ascii="Times New Roman" w:hAnsi="Times New Roman" w:cs="Times New Roman"/>
                      <w:sz w:val="18"/>
                      <w:szCs w:val="18"/>
                    </w:rPr>
                    <w:t>0.26-0.85</w:t>
                  </w:r>
                </w:p>
              </w:tc>
              <w:tc>
                <w:tcPr>
                  <w:tcW w:w="794" w:type="dxa"/>
                </w:tcPr>
                <w:p w14:paraId="6AD4D698" w14:textId="69218737" w:rsidR="00FD1E6D" w:rsidRPr="000A7465" w:rsidRDefault="00FD1E6D" w:rsidP="004649F3">
                  <w:pPr>
                    <w:rPr>
                      <w:rFonts w:ascii="Times New Roman" w:hAnsi="Times New Roman" w:cs="Times New Roman"/>
                      <w:sz w:val="18"/>
                      <w:szCs w:val="18"/>
                    </w:rPr>
                  </w:pPr>
                  <w:r w:rsidRPr="000A7465">
                    <w:rPr>
                      <w:rFonts w:ascii="Times New Roman" w:hAnsi="Times New Roman" w:cs="Times New Roman"/>
                      <w:sz w:val="18"/>
                      <w:szCs w:val="18"/>
                    </w:rPr>
                    <w:t>0.012*</w:t>
                  </w:r>
                </w:p>
              </w:tc>
              <w:tc>
                <w:tcPr>
                  <w:tcW w:w="794" w:type="dxa"/>
                </w:tcPr>
                <w:p w14:paraId="0239802E" w14:textId="48DDE983" w:rsidR="00FD1E6D" w:rsidRPr="000A7465" w:rsidRDefault="00FD1E6D" w:rsidP="004649F3">
                  <w:pPr>
                    <w:rPr>
                      <w:rFonts w:ascii="Times New Roman" w:hAnsi="Times New Roman" w:cs="Times New Roman"/>
                      <w:sz w:val="18"/>
                      <w:szCs w:val="18"/>
                    </w:rPr>
                  </w:pPr>
                  <w:r w:rsidRPr="000A7465">
                    <w:rPr>
                      <w:rFonts w:ascii="Times New Roman" w:hAnsi="Times New Roman" w:cs="Times New Roman"/>
                      <w:sz w:val="18"/>
                      <w:szCs w:val="18"/>
                    </w:rPr>
                    <w:t>32</w:t>
                  </w:r>
                </w:p>
              </w:tc>
            </w:tr>
            <w:tr w:rsidR="00FD1E6D" w:rsidRPr="000A7465" w14:paraId="7BD8A838" w14:textId="72F71B08" w:rsidTr="00C609F5">
              <w:tc>
                <w:tcPr>
                  <w:tcW w:w="1111" w:type="dxa"/>
                </w:tcPr>
                <w:p w14:paraId="31B59DEA" w14:textId="27D9BAFD" w:rsidR="00FD1E6D" w:rsidRPr="000A7465" w:rsidRDefault="00FD1E6D" w:rsidP="00FD1E6D">
                  <w:pPr>
                    <w:rPr>
                      <w:rFonts w:ascii="Times New Roman" w:hAnsi="Times New Roman" w:cs="Times New Roman"/>
                      <w:sz w:val="18"/>
                      <w:szCs w:val="18"/>
                    </w:rPr>
                  </w:pPr>
                  <w:r w:rsidRPr="000A7465">
                    <w:rPr>
                      <w:rFonts w:ascii="Times New Roman" w:hAnsi="Times New Roman" w:cs="Times New Roman"/>
                      <w:sz w:val="18"/>
                      <w:szCs w:val="18"/>
                    </w:rPr>
                    <w:t xml:space="preserve">Severe </w:t>
                  </w:r>
                </w:p>
              </w:tc>
              <w:tc>
                <w:tcPr>
                  <w:tcW w:w="668" w:type="dxa"/>
                </w:tcPr>
                <w:p w14:paraId="1F77D667" w14:textId="0454260D" w:rsidR="00FD1E6D" w:rsidRPr="000A7465" w:rsidRDefault="00FD1E6D" w:rsidP="004649F3">
                  <w:pPr>
                    <w:rPr>
                      <w:rFonts w:ascii="Times New Roman" w:hAnsi="Times New Roman" w:cs="Times New Roman"/>
                      <w:sz w:val="18"/>
                      <w:szCs w:val="18"/>
                    </w:rPr>
                  </w:pPr>
                  <w:r w:rsidRPr="000A7465">
                    <w:rPr>
                      <w:rFonts w:ascii="Times New Roman" w:hAnsi="Times New Roman" w:cs="Times New Roman"/>
                      <w:sz w:val="18"/>
                      <w:szCs w:val="18"/>
                    </w:rPr>
                    <w:t>0.55</w:t>
                  </w:r>
                </w:p>
              </w:tc>
              <w:tc>
                <w:tcPr>
                  <w:tcW w:w="919" w:type="dxa"/>
                </w:tcPr>
                <w:p w14:paraId="5368F054" w14:textId="2B4483EF" w:rsidR="00FD1E6D" w:rsidRPr="000A7465" w:rsidRDefault="00FD1E6D" w:rsidP="004649F3">
                  <w:pPr>
                    <w:rPr>
                      <w:rFonts w:ascii="Times New Roman" w:hAnsi="Times New Roman" w:cs="Times New Roman"/>
                      <w:sz w:val="18"/>
                      <w:szCs w:val="18"/>
                    </w:rPr>
                  </w:pPr>
                  <w:r w:rsidRPr="000A7465">
                    <w:rPr>
                      <w:rFonts w:ascii="Times New Roman" w:hAnsi="Times New Roman" w:cs="Times New Roman"/>
                      <w:sz w:val="18"/>
                      <w:szCs w:val="18"/>
                    </w:rPr>
                    <w:t>0.36-0.83</w:t>
                  </w:r>
                </w:p>
              </w:tc>
              <w:tc>
                <w:tcPr>
                  <w:tcW w:w="794" w:type="dxa"/>
                </w:tcPr>
                <w:p w14:paraId="0CD4F633" w14:textId="464D26A4" w:rsidR="00FD1E6D" w:rsidRPr="000A7465" w:rsidRDefault="00FD1E6D" w:rsidP="004649F3">
                  <w:pPr>
                    <w:rPr>
                      <w:rFonts w:ascii="Times New Roman" w:hAnsi="Times New Roman" w:cs="Times New Roman"/>
                      <w:sz w:val="18"/>
                      <w:szCs w:val="18"/>
                    </w:rPr>
                  </w:pPr>
                  <w:r w:rsidRPr="000A7465">
                    <w:rPr>
                      <w:rFonts w:ascii="Times New Roman" w:hAnsi="Times New Roman" w:cs="Times New Roman"/>
                      <w:sz w:val="18"/>
                      <w:szCs w:val="18"/>
                    </w:rPr>
                    <w:t>0.005*</w:t>
                  </w:r>
                </w:p>
              </w:tc>
              <w:tc>
                <w:tcPr>
                  <w:tcW w:w="794" w:type="dxa"/>
                </w:tcPr>
                <w:p w14:paraId="60F5C97C" w14:textId="7F2D4CF4" w:rsidR="00FD1E6D" w:rsidRPr="000A7465" w:rsidRDefault="00FD1E6D" w:rsidP="004649F3">
                  <w:pPr>
                    <w:rPr>
                      <w:rFonts w:ascii="Times New Roman" w:hAnsi="Times New Roman" w:cs="Times New Roman"/>
                      <w:sz w:val="18"/>
                      <w:szCs w:val="18"/>
                    </w:rPr>
                  </w:pPr>
                  <w:r w:rsidRPr="000A7465">
                    <w:rPr>
                      <w:rFonts w:ascii="Times New Roman" w:hAnsi="Times New Roman" w:cs="Times New Roman"/>
                      <w:sz w:val="18"/>
                      <w:szCs w:val="18"/>
                    </w:rPr>
                    <w:t>23</w:t>
                  </w:r>
                </w:p>
              </w:tc>
            </w:tr>
          </w:tbl>
          <w:p w14:paraId="6651E2A1" w14:textId="441C5C43" w:rsidR="00AC2FF0" w:rsidRPr="000A7465" w:rsidRDefault="00FD1E6D" w:rsidP="00FD1E6D">
            <w:pPr>
              <w:rPr>
                <w:rFonts w:ascii="Times New Roman" w:hAnsi="Times New Roman" w:cs="Times New Roman"/>
                <w:sz w:val="18"/>
                <w:szCs w:val="18"/>
              </w:rPr>
            </w:pPr>
            <w:r w:rsidRPr="000A7465">
              <w:rPr>
                <w:rFonts w:ascii="Times New Roman" w:hAnsi="Times New Roman" w:cs="Times New Roman"/>
                <w:sz w:val="18"/>
                <w:szCs w:val="18"/>
              </w:rPr>
              <w:t xml:space="preserve">- </w:t>
            </w:r>
            <w:r w:rsidR="00AC2FF0" w:rsidRPr="000A7465">
              <w:rPr>
                <w:rFonts w:ascii="Times New Roman" w:hAnsi="Times New Roman" w:cs="Times New Roman"/>
                <w:sz w:val="18"/>
                <w:szCs w:val="18"/>
              </w:rPr>
              <w:t>Match, training, knee, ankle, and acute injuries were all lower in the intervention group but the difference did not reach statistical significance</w:t>
            </w:r>
          </w:p>
          <w:p w14:paraId="07426976" w14:textId="77777777" w:rsidR="00AC2FF0" w:rsidRPr="000A7465" w:rsidRDefault="00AC2FF0" w:rsidP="00277AA5">
            <w:pPr>
              <w:rPr>
                <w:rFonts w:ascii="Times New Roman" w:hAnsi="Times New Roman" w:cs="Times New Roman"/>
                <w:sz w:val="18"/>
                <w:szCs w:val="18"/>
              </w:rPr>
            </w:pPr>
          </w:p>
          <w:p w14:paraId="36F9E308" w14:textId="7503EA16" w:rsidR="00AC2FF0" w:rsidRPr="000A7465" w:rsidRDefault="00AC2FF0" w:rsidP="00277AA5">
            <w:pPr>
              <w:rPr>
                <w:rFonts w:ascii="Times New Roman" w:hAnsi="Times New Roman" w:cs="Times New Roman"/>
                <w:sz w:val="18"/>
                <w:szCs w:val="18"/>
              </w:rPr>
            </w:pPr>
            <w:r w:rsidRPr="000A7465">
              <w:rPr>
                <w:rFonts w:ascii="Times New Roman" w:hAnsi="Times New Roman" w:cs="Times New Roman"/>
                <w:b/>
                <w:sz w:val="18"/>
                <w:szCs w:val="18"/>
              </w:rPr>
              <w:t>Compliance</w:t>
            </w:r>
            <w:r w:rsidRPr="000A7465">
              <w:rPr>
                <w:rFonts w:ascii="Times New Roman" w:hAnsi="Times New Roman" w:cs="Times New Roman"/>
                <w:sz w:val="18"/>
                <w:szCs w:val="18"/>
              </w:rPr>
              <w:t xml:space="preserve">: teams completed the program 44 times (77%) (SD 22, range 11-104), with an average practice/game attendance of 57.9% of the team. </w:t>
            </w:r>
          </w:p>
          <w:p w14:paraId="771EAA81" w14:textId="52CDCD7F" w:rsidR="00AC2FF0" w:rsidRPr="000A7465" w:rsidRDefault="00AC2FF0" w:rsidP="00A30A10">
            <w:pPr>
              <w:pStyle w:val="ListParagraph"/>
              <w:numPr>
                <w:ilvl w:val="0"/>
                <w:numId w:val="10"/>
              </w:numPr>
              <w:rPr>
                <w:rFonts w:ascii="Times New Roman" w:hAnsi="Times New Roman" w:cs="Times New Roman"/>
                <w:sz w:val="18"/>
                <w:szCs w:val="18"/>
              </w:rPr>
            </w:pPr>
            <w:r w:rsidRPr="000A7465">
              <w:rPr>
                <w:rFonts w:ascii="Times New Roman" w:hAnsi="Times New Roman" w:cs="Times New Roman"/>
                <w:sz w:val="18"/>
                <w:szCs w:val="18"/>
              </w:rPr>
              <w:t xml:space="preserve">Risk of injury was 35% lower in the intervention group for players in the top third compliance category (at least 1.5 structured warm-up sessions/week) versus the bottom third, but no statistically significant. </w:t>
            </w:r>
          </w:p>
        </w:tc>
        <w:tc>
          <w:tcPr>
            <w:tcW w:w="3495" w:type="dxa"/>
          </w:tcPr>
          <w:p w14:paraId="15EB6F57" w14:textId="77777777" w:rsidR="00AC2FF0" w:rsidRPr="000A7465" w:rsidRDefault="00AC2FF0" w:rsidP="00AC2FF0">
            <w:pPr>
              <w:rPr>
                <w:rFonts w:ascii="Times New Roman" w:hAnsi="Times New Roman" w:cs="Times New Roman"/>
                <w:sz w:val="18"/>
                <w:szCs w:val="18"/>
              </w:rPr>
            </w:pPr>
            <w:r w:rsidRPr="000A7465">
              <w:rPr>
                <w:rFonts w:ascii="Times New Roman" w:hAnsi="Times New Roman" w:cs="Times New Roman"/>
                <w:b/>
                <w:sz w:val="18"/>
                <w:szCs w:val="18"/>
              </w:rPr>
              <w:t>Author’s Conclusions</w:t>
            </w:r>
            <w:r w:rsidRPr="000A7465">
              <w:rPr>
                <w:rFonts w:ascii="Times New Roman" w:hAnsi="Times New Roman" w:cs="Times New Roman"/>
                <w:sz w:val="18"/>
                <w:szCs w:val="18"/>
              </w:rPr>
              <w:t xml:space="preserve">: </w:t>
            </w:r>
          </w:p>
          <w:p w14:paraId="714A480A" w14:textId="1E070574" w:rsidR="00AC2FF0" w:rsidRPr="000A7465" w:rsidRDefault="00AC2FF0" w:rsidP="00AC2FF0">
            <w:pPr>
              <w:rPr>
                <w:rFonts w:ascii="Times New Roman" w:hAnsi="Times New Roman" w:cs="Times New Roman"/>
                <w:sz w:val="18"/>
                <w:szCs w:val="18"/>
              </w:rPr>
            </w:pPr>
            <w:r w:rsidRPr="000A7465">
              <w:rPr>
                <w:rFonts w:ascii="Times New Roman" w:hAnsi="Times New Roman" w:cs="Times New Roman"/>
                <w:sz w:val="18"/>
                <w:szCs w:val="18"/>
              </w:rPr>
              <w:t xml:space="preserve">“The risk of injury can be reduced by about one third and the risk of severe injuries by as much as a half” with the implementation of the </w:t>
            </w:r>
            <w:r w:rsidR="001C194F" w:rsidRPr="000A7465">
              <w:rPr>
                <w:rFonts w:ascii="Times New Roman" w:hAnsi="Times New Roman" w:cs="Times New Roman"/>
                <w:sz w:val="18"/>
                <w:szCs w:val="18"/>
              </w:rPr>
              <w:t>“</w:t>
            </w:r>
            <w:r w:rsidRPr="000A7465">
              <w:rPr>
                <w:rFonts w:ascii="Times New Roman" w:hAnsi="Times New Roman" w:cs="Times New Roman"/>
                <w:sz w:val="18"/>
                <w:szCs w:val="18"/>
              </w:rPr>
              <w:t>11+</w:t>
            </w:r>
            <w:r w:rsidR="001C194F" w:rsidRPr="000A7465">
              <w:rPr>
                <w:rFonts w:ascii="Times New Roman" w:hAnsi="Times New Roman" w:cs="Times New Roman"/>
                <w:sz w:val="18"/>
                <w:szCs w:val="18"/>
              </w:rPr>
              <w:t>”</w:t>
            </w:r>
            <w:r w:rsidRPr="000A7465">
              <w:rPr>
                <w:rFonts w:ascii="Times New Roman" w:hAnsi="Times New Roman" w:cs="Times New Roman"/>
                <w:sz w:val="18"/>
                <w:szCs w:val="18"/>
              </w:rPr>
              <w:t xml:space="preserve"> injury prevention program.</w:t>
            </w:r>
          </w:p>
          <w:p w14:paraId="49BA94CE" w14:textId="77777777" w:rsidR="00AC2FF0" w:rsidRPr="000A7465" w:rsidRDefault="00AC2FF0">
            <w:pPr>
              <w:rPr>
                <w:rFonts w:ascii="Times New Roman" w:hAnsi="Times New Roman" w:cs="Times New Roman"/>
                <w:sz w:val="18"/>
                <w:szCs w:val="18"/>
              </w:rPr>
            </w:pPr>
          </w:p>
          <w:p w14:paraId="2E545D07" w14:textId="77777777" w:rsidR="00AC2FF0" w:rsidRPr="000A7465" w:rsidRDefault="00AC2FF0">
            <w:pPr>
              <w:rPr>
                <w:rFonts w:ascii="Times New Roman" w:hAnsi="Times New Roman" w:cs="Times New Roman"/>
                <w:b/>
                <w:sz w:val="18"/>
                <w:szCs w:val="18"/>
              </w:rPr>
            </w:pPr>
            <w:r w:rsidRPr="000A7465">
              <w:rPr>
                <w:rFonts w:ascii="Times New Roman" w:hAnsi="Times New Roman" w:cs="Times New Roman"/>
                <w:b/>
                <w:sz w:val="18"/>
                <w:szCs w:val="18"/>
              </w:rPr>
              <w:t>Limitations:</w:t>
            </w:r>
          </w:p>
          <w:p w14:paraId="337C60A1" w14:textId="09A555C1" w:rsidR="00AC2FF0" w:rsidRPr="000A7465" w:rsidRDefault="00AC2FF0" w:rsidP="00CE0E0E">
            <w:pPr>
              <w:pStyle w:val="ListParagraph"/>
              <w:numPr>
                <w:ilvl w:val="0"/>
                <w:numId w:val="10"/>
              </w:numPr>
              <w:rPr>
                <w:rFonts w:ascii="Times New Roman" w:hAnsi="Times New Roman" w:cs="Times New Roman"/>
                <w:sz w:val="18"/>
                <w:szCs w:val="18"/>
              </w:rPr>
            </w:pPr>
            <w:r w:rsidRPr="000A7465">
              <w:rPr>
                <w:rFonts w:ascii="Times New Roman" w:hAnsi="Times New Roman" w:cs="Times New Roman"/>
                <w:sz w:val="18"/>
                <w:szCs w:val="18"/>
              </w:rPr>
              <w:t xml:space="preserve">19 clubs in the control and 13 in the intervention group were excluded from final analysis because they did not provide any data about exposure or injuries  </w:t>
            </w:r>
          </w:p>
          <w:p w14:paraId="4DA76B7E" w14:textId="5F6BE16C" w:rsidR="00AC2FF0" w:rsidRPr="000A7465" w:rsidRDefault="00AC2FF0" w:rsidP="00CE0E0E">
            <w:pPr>
              <w:pStyle w:val="ListParagraph"/>
              <w:numPr>
                <w:ilvl w:val="0"/>
                <w:numId w:val="10"/>
              </w:numPr>
              <w:rPr>
                <w:rFonts w:ascii="Times New Roman" w:hAnsi="Times New Roman" w:cs="Times New Roman"/>
                <w:sz w:val="18"/>
                <w:szCs w:val="18"/>
              </w:rPr>
            </w:pPr>
            <w:r w:rsidRPr="000A7465">
              <w:rPr>
                <w:rFonts w:ascii="Times New Roman" w:hAnsi="Times New Roman" w:cs="Times New Roman"/>
                <w:sz w:val="18"/>
                <w:szCs w:val="18"/>
              </w:rPr>
              <w:t>Risk for selection bias</w:t>
            </w:r>
          </w:p>
          <w:p w14:paraId="2AD3A9AD" w14:textId="58ACBC7E" w:rsidR="00AC2FF0" w:rsidRPr="000A7465" w:rsidRDefault="00AC2FF0" w:rsidP="00CE0E0E">
            <w:pPr>
              <w:pStyle w:val="ListParagraph"/>
              <w:numPr>
                <w:ilvl w:val="0"/>
                <w:numId w:val="10"/>
              </w:numPr>
              <w:rPr>
                <w:rFonts w:ascii="Times New Roman" w:hAnsi="Times New Roman" w:cs="Times New Roman"/>
                <w:sz w:val="18"/>
                <w:szCs w:val="18"/>
              </w:rPr>
            </w:pPr>
            <w:r w:rsidRPr="000A7465">
              <w:rPr>
                <w:rFonts w:ascii="Times New Roman" w:hAnsi="Times New Roman" w:cs="Times New Roman"/>
                <w:sz w:val="18"/>
                <w:szCs w:val="18"/>
              </w:rPr>
              <w:t>Lack of blinding of subjects</w:t>
            </w:r>
          </w:p>
          <w:p w14:paraId="24011BF7" w14:textId="3F24CA25" w:rsidR="00AC2FF0" w:rsidRPr="000A7465" w:rsidRDefault="00AC2FF0" w:rsidP="00CE0E0E">
            <w:pPr>
              <w:pStyle w:val="ListParagraph"/>
              <w:numPr>
                <w:ilvl w:val="0"/>
                <w:numId w:val="10"/>
              </w:numPr>
              <w:rPr>
                <w:rFonts w:ascii="Times New Roman" w:hAnsi="Times New Roman" w:cs="Times New Roman"/>
                <w:sz w:val="18"/>
                <w:szCs w:val="18"/>
              </w:rPr>
            </w:pPr>
            <w:r w:rsidRPr="000A7465">
              <w:rPr>
                <w:rFonts w:ascii="Times New Roman" w:hAnsi="Times New Roman" w:cs="Times New Roman"/>
                <w:sz w:val="18"/>
                <w:szCs w:val="18"/>
              </w:rPr>
              <w:t xml:space="preserve">Study was underpowered given the high dropout rate (anticipated 15%) </w:t>
            </w:r>
          </w:p>
          <w:p w14:paraId="69A77CC1" w14:textId="724881ED" w:rsidR="00AC2FF0" w:rsidRPr="000A7465" w:rsidRDefault="00AC2FF0" w:rsidP="00CE0E0E">
            <w:pPr>
              <w:pStyle w:val="ListParagraph"/>
              <w:numPr>
                <w:ilvl w:val="0"/>
                <w:numId w:val="10"/>
              </w:numPr>
              <w:rPr>
                <w:rFonts w:ascii="Times New Roman" w:hAnsi="Times New Roman" w:cs="Times New Roman"/>
                <w:sz w:val="18"/>
                <w:szCs w:val="18"/>
              </w:rPr>
            </w:pPr>
            <w:r w:rsidRPr="000A7465">
              <w:rPr>
                <w:rFonts w:ascii="Times New Roman" w:hAnsi="Times New Roman" w:cs="Times New Roman"/>
                <w:sz w:val="18"/>
                <w:szCs w:val="18"/>
              </w:rPr>
              <w:t>No monitoring or follow-up to determine if the program was performed correctly</w:t>
            </w:r>
          </w:p>
          <w:p w14:paraId="570952F5" w14:textId="77777777" w:rsidR="00AC2FF0" w:rsidRPr="000A7465" w:rsidRDefault="00AC2FF0">
            <w:pPr>
              <w:rPr>
                <w:rFonts w:ascii="Times New Roman" w:hAnsi="Times New Roman" w:cs="Times New Roman"/>
                <w:sz w:val="18"/>
                <w:szCs w:val="18"/>
              </w:rPr>
            </w:pPr>
          </w:p>
          <w:p w14:paraId="1479699C" w14:textId="0FB6E6BA" w:rsidR="00AC2FF0" w:rsidRPr="000A7465" w:rsidRDefault="00AC2FF0" w:rsidP="009E3D7D">
            <w:pPr>
              <w:rPr>
                <w:rFonts w:ascii="Times New Roman" w:hAnsi="Times New Roman" w:cs="Times New Roman"/>
                <w:b/>
                <w:sz w:val="18"/>
                <w:szCs w:val="18"/>
              </w:rPr>
            </w:pPr>
            <w:r w:rsidRPr="000A7465">
              <w:rPr>
                <w:rFonts w:ascii="Times New Roman" w:hAnsi="Times New Roman" w:cs="Times New Roman"/>
                <w:b/>
                <w:sz w:val="18"/>
                <w:szCs w:val="18"/>
              </w:rPr>
              <w:t>Strengths:</w:t>
            </w:r>
          </w:p>
          <w:p w14:paraId="02AD1690" w14:textId="77777777" w:rsidR="00AC2FF0" w:rsidRPr="000A7465" w:rsidRDefault="00AC2FF0" w:rsidP="00CE0E0E">
            <w:pPr>
              <w:pStyle w:val="ListParagraph"/>
              <w:numPr>
                <w:ilvl w:val="0"/>
                <w:numId w:val="10"/>
              </w:numPr>
              <w:rPr>
                <w:rFonts w:ascii="Times New Roman" w:hAnsi="Times New Roman" w:cs="Times New Roman"/>
                <w:sz w:val="18"/>
                <w:szCs w:val="18"/>
              </w:rPr>
            </w:pPr>
            <w:r w:rsidRPr="000A7465">
              <w:rPr>
                <w:rFonts w:ascii="Times New Roman" w:hAnsi="Times New Roman" w:cs="Times New Roman"/>
                <w:sz w:val="18"/>
                <w:szCs w:val="18"/>
              </w:rPr>
              <w:t xml:space="preserve">Recorded individual exposure </w:t>
            </w:r>
          </w:p>
          <w:p w14:paraId="6E800275" w14:textId="2243B84F" w:rsidR="00AC2FF0" w:rsidRPr="000A7465" w:rsidRDefault="00AC2FF0" w:rsidP="00AC2FF0">
            <w:pPr>
              <w:pStyle w:val="ListParagraph"/>
              <w:numPr>
                <w:ilvl w:val="0"/>
                <w:numId w:val="10"/>
              </w:numPr>
              <w:rPr>
                <w:rFonts w:ascii="Times New Roman" w:hAnsi="Times New Roman" w:cs="Times New Roman"/>
                <w:sz w:val="18"/>
                <w:szCs w:val="18"/>
              </w:rPr>
            </w:pPr>
            <w:r w:rsidRPr="000A7465">
              <w:rPr>
                <w:rFonts w:ascii="Times New Roman" w:hAnsi="Times New Roman" w:cs="Times New Roman"/>
                <w:sz w:val="18"/>
                <w:szCs w:val="18"/>
              </w:rPr>
              <w:t xml:space="preserve">Interviewers gathering information from injured subjects were blinded </w:t>
            </w:r>
            <w:r w:rsidR="00FD1E6D" w:rsidRPr="000A7465">
              <w:rPr>
                <w:rFonts w:ascii="Times New Roman" w:hAnsi="Times New Roman" w:cs="Times New Roman"/>
                <w:sz w:val="18"/>
                <w:szCs w:val="18"/>
              </w:rPr>
              <w:t>to allocation</w:t>
            </w:r>
          </w:p>
        </w:tc>
      </w:tr>
      <w:tr w:rsidR="00FD3429" w:rsidRPr="000A7465" w14:paraId="1EB5C3AE" w14:textId="77777777" w:rsidTr="00C609F5">
        <w:trPr>
          <w:gridBefore w:val="1"/>
          <w:gridAfter w:val="1"/>
          <w:wBefore w:w="365" w:type="dxa"/>
          <w:wAfter w:w="270" w:type="dxa"/>
          <w:trHeight w:val="449"/>
        </w:trPr>
        <w:tc>
          <w:tcPr>
            <w:tcW w:w="1936" w:type="dxa"/>
          </w:tcPr>
          <w:p w14:paraId="54BEAF0B" w14:textId="0747AEAB" w:rsidR="00AC2FF0" w:rsidRPr="000A7465" w:rsidRDefault="00AC2FF0" w:rsidP="008B118C">
            <w:pPr>
              <w:rPr>
                <w:rFonts w:ascii="Times New Roman" w:hAnsi="Times New Roman" w:cs="Times New Roman"/>
                <w:sz w:val="18"/>
                <w:szCs w:val="18"/>
              </w:rPr>
            </w:pPr>
            <w:r w:rsidRPr="000A7465">
              <w:rPr>
                <w:rFonts w:ascii="Times New Roman" w:hAnsi="Times New Roman" w:cs="Times New Roman"/>
                <w:b/>
                <w:sz w:val="18"/>
                <w:szCs w:val="18"/>
              </w:rPr>
              <w:t>Author/Year</w:t>
            </w:r>
            <w:r w:rsidRPr="000A7465">
              <w:rPr>
                <w:rFonts w:ascii="Times New Roman" w:hAnsi="Times New Roman" w:cs="Times New Roman"/>
                <w:sz w:val="18"/>
                <w:szCs w:val="18"/>
              </w:rPr>
              <w:t>: Attar (2016)</w:t>
            </w:r>
            <w:r w:rsidR="00C13D05" w:rsidRPr="000A7465">
              <w:rPr>
                <w:rFonts w:ascii="Times New Roman" w:hAnsi="Times New Roman" w:cs="Times New Roman"/>
                <w:sz w:val="18"/>
                <w:szCs w:val="18"/>
              </w:rPr>
              <w:fldChar w:fldCharType="begin"/>
            </w:r>
            <w:r w:rsidR="009D18FB" w:rsidRPr="000A7465">
              <w:rPr>
                <w:rFonts w:ascii="Times New Roman" w:hAnsi="Times New Roman" w:cs="Times New Roman"/>
                <w:sz w:val="18"/>
                <w:szCs w:val="18"/>
              </w:rPr>
              <w:instrText>ADDIN F1000_CSL_CITATION&lt;~#@#~&gt;[{"DOI":"10.1007/s40279-015-0404-x","First":false,"Last":false,"PMID":"26403470","abstract":"&lt;strong&gt;BACKGROUND:&lt;/strong&gt; The FIFA Medical and Research Centre (F-MARC) has designed a comprehensive warm-up program targeting muscular strength, body kinaesthetic awareness, and neuromuscular control during static and dynamic movements to decrease injury risk for soccer players. Prior studies have investigated the effectiveness of the F-MARC programs, but have not consistently reported a statistically significant reduction in injury and reduction in time loss due to injury from utilizing the program.&lt;br&gt;&lt;br&gt;&lt;strong&gt;OBJECTIVE:&lt;/strong&gt; The purpose of this study was to conduct a systematic review and meta-analysis of randomized controlled trials and interventional studies that evaluated the efficacy of the F-MARC injury prevention programs in soccer.&lt;br&gt;&lt;br&gt;&lt;strong&gt;METHODS:&lt;/strong&gt; Two independent researchers searched the relevant article databases. The keyword domains used during the search were 'F-MARC', 'FIFA 11+', 'the 11+', 'injury prevention programs', 'soccer', and variations of these keywords. The initial search resulted in 4299 articles which were filtered to nine articles that met the inclusion criteria. Main inclusion criteria were randomized controlled trials or interventional studies, use of F-MARC injury prevention programs, and the primary outcome measuring overall and lower extremity injuries. Extracted data were entered and analyzed using Comprehensive Meta-Analysis software, version 2 (CMA.V2).&lt;br&gt;&lt;br&gt;&lt;strong&gt;RESULTS:&lt;/strong&gt; The pooled results based on total injuries per 1000 h of exposure showed that F-MARC injury prevention programs had a statistically significant reduction in the overall injury risk ratio of 0.771 (95% CI 0.647-0.918, p = 0.003) and the lower extremity injury risk ratio of 0.762 (95% CI 0.621-0.935, p = 0.009). Moreover, FIFA '11+' had a statistically significant reduction in the overall injury risk ratio to 0.654 (95% CI 0.537-0.798, p &lt;  0.001) and the lower extremity injury risk ratio of 0.612 (95% CI 0.475-0.788, p &lt;  0.001). However, FIFA '11' did not reach significance for the lower extremity and overall injury reduction. It can be suggested that teams involved in the FIFA '11+' warm-up program will reduce injury rates by between 20 and 50% in the long term compared with the teams that do not engage in F-MARC programs.&lt;br&gt;&lt;br&gt;&lt;strong&gt;CONCLUSIONS:&lt;/strong&gt; This systematic review and meta-analysis indicated that use of F-MARC injury prevention programs, particularly the '11+' program, decreases the risk of injuries among soccer players. These data also support the case for the development and introduction of sport-specific programs.","author":[{"family":"Al Attar","given":"Wesam Saleh A"},{"family":"Soomro","given":"Najeebullah"},{"family":"Pappas","given":"Evangelos"},{"family":"Sinclair","given":"Peter J"},{"family":"Sanders","given":"Ross H"}],"citation-label":"5824175","container-title":"Sports medicine (Auckland, N.Z.)","container-title-short":"Sports Med.","id":"5824175","invisible":false,"issue":"2","issued":{"date-parts":[["2016","2"]]},"journalAbbreviation":"Sports Med.","page":"205-217","suppress-author":false,"title":"How Effective are F-MARC Injury Prevention Programs for Soccer Players? A Systematic Review and Meta-Analysis.","type":"article-journal","volume":"46"}]</w:instrText>
            </w:r>
            <w:r w:rsidR="00C13D05" w:rsidRPr="000A7465">
              <w:rPr>
                <w:rFonts w:ascii="Times New Roman" w:hAnsi="Times New Roman" w:cs="Times New Roman"/>
                <w:sz w:val="18"/>
                <w:szCs w:val="18"/>
              </w:rPr>
              <w:fldChar w:fldCharType="separate"/>
            </w:r>
            <w:r w:rsidR="00502F90" w:rsidRPr="000A7465">
              <w:rPr>
                <w:rFonts w:ascii="Times New Roman" w:hAnsi="Times New Roman" w:cs="Times New Roman"/>
                <w:sz w:val="18"/>
                <w:szCs w:val="18"/>
                <w:vertAlign w:val="superscript"/>
              </w:rPr>
              <w:t>2</w:t>
            </w:r>
            <w:r w:rsidR="00C13D05" w:rsidRPr="000A7465">
              <w:rPr>
                <w:rFonts w:ascii="Times New Roman" w:hAnsi="Times New Roman" w:cs="Times New Roman"/>
                <w:sz w:val="18"/>
                <w:szCs w:val="18"/>
              </w:rPr>
              <w:fldChar w:fldCharType="end"/>
            </w:r>
          </w:p>
          <w:p w14:paraId="324E09FF" w14:textId="77777777" w:rsidR="00AC2FF0" w:rsidRPr="000A7465" w:rsidRDefault="00AC2FF0" w:rsidP="008B118C">
            <w:pPr>
              <w:rPr>
                <w:rFonts w:ascii="Times New Roman" w:hAnsi="Times New Roman" w:cs="Times New Roman"/>
                <w:sz w:val="18"/>
                <w:szCs w:val="18"/>
              </w:rPr>
            </w:pPr>
          </w:p>
          <w:p w14:paraId="76E23CAC" w14:textId="77777777" w:rsidR="00AC2FF0" w:rsidRPr="000A7465" w:rsidRDefault="00AC2FF0" w:rsidP="008B118C">
            <w:pPr>
              <w:rPr>
                <w:rFonts w:ascii="Times New Roman" w:hAnsi="Times New Roman" w:cs="Times New Roman"/>
                <w:sz w:val="18"/>
                <w:szCs w:val="18"/>
              </w:rPr>
            </w:pPr>
            <w:r w:rsidRPr="000A7465">
              <w:rPr>
                <w:rFonts w:ascii="Times New Roman" w:hAnsi="Times New Roman" w:cs="Times New Roman"/>
                <w:b/>
                <w:sz w:val="18"/>
                <w:szCs w:val="18"/>
              </w:rPr>
              <w:t>Study Design</w:t>
            </w:r>
            <w:r w:rsidRPr="000A7465">
              <w:rPr>
                <w:rFonts w:ascii="Times New Roman" w:hAnsi="Times New Roman" w:cs="Times New Roman"/>
                <w:sz w:val="18"/>
                <w:szCs w:val="18"/>
              </w:rPr>
              <w:t>: systematic review + meta-analysis</w:t>
            </w:r>
          </w:p>
          <w:p w14:paraId="603E85CC" w14:textId="77777777" w:rsidR="00AC2FF0" w:rsidRPr="000A7465" w:rsidRDefault="00AC2FF0" w:rsidP="008B118C">
            <w:pPr>
              <w:rPr>
                <w:rFonts w:ascii="Times New Roman" w:hAnsi="Times New Roman" w:cs="Times New Roman"/>
                <w:sz w:val="18"/>
                <w:szCs w:val="18"/>
              </w:rPr>
            </w:pPr>
          </w:p>
          <w:p w14:paraId="599FD1ED" w14:textId="77777777" w:rsidR="00AC2FF0" w:rsidRPr="000A7465" w:rsidRDefault="00AC2FF0" w:rsidP="008B118C">
            <w:pPr>
              <w:rPr>
                <w:rFonts w:ascii="Times New Roman" w:hAnsi="Times New Roman" w:cs="Times New Roman"/>
                <w:sz w:val="18"/>
                <w:szCs w:val="18"/>
              </w:rPr>
            </w:pPr>
            <w:r w:rsidRPr="000A7465">
              <w:rPr>
                <w:rFonts w:ascii="Times New Roman" w:hAnsi="Times New Roman" w:cs="Times New Roman"/>
                <w:b/>
                <w:sz w:val="18"/>
                <w:szCs w:val="18"/>
              </w:rPr>
              <w:t>Level of evidence</w:t>
            </w:r>
            <w:r w:rsidRPr="000A7465">
              <w:rPr>
                <w:rFonts w:ascii="Times New Roman" w:hAnsi="Times New Roman" w:cs="Times New Roman"/>
                <w:sz w:val="18"/>
                <w:szCs w:val="18"/>
              </w:rPr>
              <w:t xml:space="preserve">: 2a (downgraded because it contains RTCs and cohort studies) </w:t>
            </w:r>
          </w:p>
          <w:p w14:paraId="634563BC" w14:textId="77777777" w:rsidR="00AC2FF0" w:rsidRPr="000A7465" w:rsidRDefault="00AC2FF0" w:rsidP="008B118C">
            <w:pPr>
              <w:rPr>
                <w:rFonts w:ascii="Times New Roman" w:hAnsi="Times New Roman" w:cs="Times New Roman"/>
                <w:sz w:val="18"/>
                <w:szCs w:val="18"/>
              </w:rPr>
            </w:pPr>
          </w:p>
          <w:p w14:paraId="397C36D9" w14:textId="77777777" w:rsidR="00AC2FF0" w:rsidRPr="000A7465" w:rsidRDefault="00AC2FF0" w:rsidP="00EC58B5">
            <w:pPr>
              <w:rPr>
                <w:rFonts w:ascii="Times New Roman" w:hAnsi="Times New Roman" w:cs="Times New Roman"/>
                <w:sz w:val="18"/>
                <w:szCs w:val="18"/>
              </w:rPr>
            </w:pPr>
            <w:r w:rsidRPr="000A7465">
              <w:rPr>
                <w:rFonts w:ascii="Times New Roman" w:hAnsi="Times New Roman" w:cs="Times New Roman"/>
                <w:b/>
                <w:sz w:val="18"/>
                <w:szCs w:val="18"/>
              </w:rPr>
              <w:t>Risk of bias</w:t>
            </w:r>
            <w:r w:rsidRPr="000A7465">
              <w:rPr>
                <w:rFonts w:ascii="Times New Roman" w:hAnsi="Times New Roman" w:cs="Times New Roman"/>
                <w:sz w:val="18"/>
                <w:szCs w:val="18"/>
              </w:rPr>
              <w:t>: 6/11 (AMSTAR)</w:t>
            </w:r>
          </w:p>
          <w:p w14:paraId="6D5101C4" w14:textId="77777777" w:rsidR="00F2789F" w:rsidRPr="000A7465" w:rsidRDefault="00F2789F" w:rsidP="00EC58B5">
            <w:pPr>
              <w:rPr>
                <w:rFonts w:ascii="Times New Roman" w:hAnsi="Times New Roman" w:cs="Times New Roman"/>
                <w:sz w:val="18"/>
                <w:szCs w:val="18"/>
              </w:rPr>
            </w:pPr>
          </w:p>
          <w:p w14:paraId="7810200D" w14:textId="18FA52EC" w:rsidR="00F2789F" w:rsidRPr="000A7465" w:rsidRDefault="00F2789F" w:rsidP="00EC58B5">
            <w:pPr>
              <w:rPr>
                <w:rFonts w:ascii="Times New Roman" w:hAnsi="Times New Roman" w:cs="Times New Roman"/>
                <w:sz w:val="18"/>
                <w:szCs w:val="18"/>
              </w:rPr>
            </w:pPr>
            <w:r w:rsidRPr="000A7465">
              <w:rPr>
                <w:rFonts w:ascii="Times New Roman" w:hAnsi="Times New Roman" w:cs="Times New Roman"/>
                <w:b/>
                <w:sz w:val="18"/>
                <w:szCs w:val="18"/>
              </w:rPr>
              <w:t>Aim</w:t>
            </w:r>
            <w:r w:rsidRPr="000A7465">
              <w:rPr>
                <w:rFonts w:ascii="Times New Roman" w:hAnsi="Times New Roman" w:cs="Times New Roman"/>
                <w:sz w:val="18"/>
                <w:szCs w:val="18"/>
              </w:rPr>
              <w:t xml:space="preserve">: </w:t>
            </w:r>
            <w:r w:rsidR="00B609FB" w:rsidRPr="000A7465">
              <w:rPr>
                <w:rFonts w:ascii="Times New Roman" w:hAnsi="Times New Roman" w:cs="Times New Roman"/>
                <w:sz w:val="18"/>
                <w:szCs w:val="18"/>
              </w:rPr>
              <w:t xml:space="preserve">evaluate the efficacy of the </w:t>
            </w:r>
            <w:r w:rsidR="006F1523">
              <w:rPr>
                <w:rFonts w:ascii="Times New Roman" w:hAnsi="Times New Roman" w:cs="Times New Roman"/>
                <w:sz w:val="18"/>
                <w:szCs w:val="18"/>
              </w:rPr>
              <w:t>“</w:t>
            </w:r>
            <w:r w:rsidR="00B609FB" w:rsidRPr="000A7465">
              <w:rPr>
                <w:rFonts w:ascii="Times New Roman" w:hAnsi="Times New Roman" w:cs="Times New Roman"/>
                <w:sz w:val="18"/>
                <w:szCs w:val="18"/>
              </w:rPr>
              <w:t>11</w:t>
            </w:r>
            <w:r w:rsidR="006F1523">
              <w:rPr>
                <w:rFonts w:ascii="Times New Roman" w:hAnsi="Times New Roman" w:cs="Times New Roman"/>
                <w:sz w:val="18"/>
                <w:szCs w:val="18"/>
              </w:rPr>
              <w:t>”</w:t>
            </w:r>
            <w:r w:rsidR="00B609FB" w:rsidRPr="000A7465">
              <w:rPr>
                <w:rFonts w:ascii="Times New Roman" w:hAnsi="Times New Roman" w:cs="Times New Roman"/>
                <w:sz w:val="18"/>
                <w:szCs w:val="18"/>
              </w:rPr>
              <w:t xml:space="preserve"> and</w:t>
            </w:r>
            <w:r w:rsidR="00D85F5F" w:rsidRPr="000A7465">
              <w:rPr>
                <w:rFonts w:ascii="Times New Roman" w:hAnsi="Times New Roman" w:cs="Times New Roman"/>
                <w:sz w:val="18"/>
                <w:szCs w:val="18"/>
              </w:rPr>
              <w:t xml:space="preserve"> </w:t>
            </w:r>
            <w:r w:rsidR="006F1523">
              <w:rPr>
                <w:rFonts w:ascii="Times New Roman" w:hAnsi="Times New Roman" w:cs="Times New Roman"/>
                <w:sz w:val="18"/>
                <w:szCs w:val="18"/>
              </w:rPr>
              <w:t>“</w:t>
            </w:r>
            <w:r w:rsidR="00D85F5F" w:rsidRPr="000A7465">
              <w:rPr>
                <w:rFonts w:ascii="Times New Roman" w:hAnsi="Times New Roman" w:cs="Times New Roman"/>
                <w:sz w:val="18"/>
                <w:szCs w:val="18"/>
              </w:rPr>
              <w:t>11+</w:t>
            </w:r>
            <w:r w:rsidR="006F1523">
              <w:rPr>
                <w:rFonts w:ascii="Times New Roman" w:hAnsi="Times New Roman" w:cs="Times New Roman"/>
                <w:sz w:val="18"/>
                <w:szCs w:val="18"/>
              </w:rPr>
              <w:t>”</w:t>
            </w:r>
            <w:r w:rsidR="00D85F5F" w:rsidRPr="000A7465">
              <w:rPr>
                <w:rFonts w:ascii="Times New Roman" w:hAnsi="Times New Roman" w:cs="Times New Roman"/>
                <w:sz w:val="18"/>
                <w:szCs w:val="18"/>
              </w:rPr>
              <w:t xml:space="preserve"> injury prevention programs in soccer</w:t>
            </w:r>
          </w:p>
        </w:tc>
        <w:tc>
          <w:tcPr>
            <w:tcW w:w="4380" w:type="dxa"/>
          </w:tcPr>
          <w:p w14:paraId="3A342AB1" w14:textId="77777777" w:rsidR="00CE152A" w:rsidRPr="000A7465" w:rsidRDefault="00CE152A" w:rsidP="00CE152A">
            <w:pPr>
              <w:rPr>
                <w:rFonts w:ascii="Times New Roman" w:hAnsi="Times New Roman" w:cs="Times New Roman"/>
                <w:sz w:val="18"/>
                <w:szCs w:val="18"/>
              </w:rPr>
            </w:pPr>
            <w:r w:rsidRPr="000A7465">
              <w:rPr>
                <w:rFonts w:ascii="Times New Roman" w:hAnsi="Times New Roman" w:cs="Times New Roman"/>
                <w:b/>
                <w:sz w:val="18"/>
                <w:szCs w:val="18"/>
              </w:rPr>
              <w:t>Included Studies Criteria</w:t>
            </w:r>
          </w:p>
          <w:p w14:paraId="7DDA491F" w14:textId="1DA581AE" w:rsidR="00CE152A" w:rsidRPr="000A7465" w:rsidRDefault="00CE152A" w:rsidP="00CE152A">
            <w:pPr>
              <w:pStyle w:val="ListParagraph"/>
              <w:numPr>
                <w:ilvl w:val="0"/>
                <w:numId w:val="2"/>
              </w:numPr>
              <w:rPr>
                <w:rFonts w:ascii="Times New Roman" w:hAnsi="Times New Roman" w:cs="Times New Roman"/>
                <w:sz w:val="18"/>
                <w:szCs w:val="18"/>
              </w:rPr>
            </w:pPr>
            <w:r w:rsidRPr="000A7465">
              <w:rPr>
                <w:rFonts w:ascii="Times New Roman" w:hAnsi="Times New Roman" w:cs="Times New Roman"/>
                <w:sz w:val="18"/>
                <w:szCs w:val="18"/>
              </w:rPr>
              <w:t>Randomized control</w:t>
            </w:r>
            <w:r w:rsidR="00E86016" w:rsidRPr="000A7465">
              <w:rPr>
                <w:rFonts w:ascii="Times New Roman" w:hAnsi="Times New Roman" w:cs="Times New Roman"/>
                <w:sz w:val="18"/>
                <w:szCs w:val="18"/>
              </w:rPr>
              <w:t>led</w:t>
            </w:r>
            <w:r w:rsidRPr="000A7465">
              <w:rPr>
                <w:rFonts w:ascii="Times New Roman" w:hAnsi="Times New Roman" w:cs="Times New Roman"/>
                <w:sz w:val="18"/>
                <w:szCs w:val="18"/>
              </w:rPr>
              <w:t xml:space="preserve"> trials, cluster-randomized control</w:t>
            </w:r>
            <w:r w:rsidR="00E86016" w:rsidRPr="000A7465">
              <w:rPr>
                <w:rFonts w:ascii="Times New Roman" w:hAnsi="Times New Roman" w:cs="Times New Roman"/>
                <w:sz w:val="18"/>
                <w:szCs w:val="18"/>
              </w:rPr>
              <w:t>led</w:t>
            </w:r>
            <w:r w:rsidRPr="000A7465">
              <w:rPr>
                <w:rFonts w:ascii="Times New Roman" w:hAnsi="Times New Roman" w:cs="Times New Roman"/>
                <w:sz w:val="18"/>
                <w:szCs w:val="18"/>
              </w:rPr>
              <w:t xml:space="preserve"> trials or prospective cohort studies </w:t>
            </w:r>
          </w:p>
          <w:p w14:paraId="1755DC36" w14:textId="56AC23A1" w:rsidR="00CE152A" w:rsidRPr="000A7465" w:rsidRDefault="00CE152A" w:rsidP="00CE152A">
            <w:pPr>
              <w:pStyle w:val="ListParagraph"/>
              <w:numPr>
                <w:ilvl w:val="0"/>
                <w:numId w:val="2"/>
              </w:numPr>
              <w:rPr>
                <w:rFonts w:ascii="Times New Roman" w:hAnsi="Times New Roman" w:cs="Times New Roman"/>
                <w:sz w:val="18"/>
                <w:szCs w:val="18"/>
              </w:rPr>
            </w:pPr>
            <w:r w:rsidRPr="000A7465">
              <w:rPr>
                <w:rFonts w:ascii="Times New Roman" w:hAnsi="Times New Roman" w:cs="Times New Roman"/>
                <w:sz w:val="18"/>
                <w:szCs w:val="18"/>
              </w:rPr>
              <w:t>Participants performed</w:t>
            </w:r>
            <w:r w:rsidR="003D7BEA" w:rsidRPr="000A7465">
              <w:rPr>
                <w:rFonts w:ascii="Times New Roman" w:hAnsi="Times New Roman" w:cs="Times New Roman"/>
                <w:sz w:val="18"/>
                <w:szCs w:val="18"/>
              </w:rPr>
              <w:t xml:space="preserve"> “</w:t>
            </w:r>
            <w:r w:rsidRPr="000A7465">
              <w:rPr>
                <w:rFonts w:ascii="Times New Roman" w:hAnsi="Times New Roman" w:cs="Times New Roman"/>
                <w:sz w:val="18"/>
                <w:szCs w:val="18"/>
              </w:rPr>
              <w:t>11+</w:t>
            </w:r>
            <w:r w:rsidR="00E86016" w:rsidRPr="000A7465">
              <w:rPr>
                <w:rFonts w:ascii="Times New Roman" w:hAnsi="Times New Roman" w:cs="Times New Roman"/>
                <w:sz w:val="18"/>
                <w:szCs w:val="18"/>
              </w:rPr>
              <w:t>”</w:t>
            </w:r>
            <w:r w:rsidR="00C54E57" w:rsidRPr="000A7465">
              <w:rPr>
                <w:rFonts w:ascii="Times New Roman" w:hAnsi="Times New Roman" w:cs="Times New Roman"/>
                <w:sz w:val="18"/>
                <w:szCs w:val="18"/>
              </w:rPr>
              <w:t xml:space="preserve"> or </w:t>
            </w:r>
            <w:r w:rsidR="003D7BEA" w:rsidRPr="000A7465">
              <w:rPr>
                <w:rFonts w:ascii="Times New Roman" w:hAnsi="Times New Roman" w:cs="Times New Roman"/>
                <w:sz w:val="18"/>
                <w:szCs w:val="18"/>
              </w:rPr>
              <w:t>“</w:t>
            </w:r>
            <w:r w:rsidR="00C54E57" w:rsidRPr="000A7465">
              <w:rPr>
                <w:rFonts w:ascii="Times New Roman" w:hAnsi="Times New Roman" w:cs="Times New Roman"/>
                <w:sz w:val="18"/>
                <w:szCs w:val="18"/>
              </w:rPr>
              <w:t>11</w:t>
            </w:r>
            <w:r w:rsidR="00E86016" w:rsidRPr="000A7465">
              <w:rPr>
                <w:rFonts w:ascii="Times New Roman" w:hAnsi="Times New Roman" w:cs="Times New Roman"/>
                <w:sz w:val="18"/>
                <w:szCs w:val="18"/>
              </w:rPr>
              <w:t>”</w:t>
            </w:r>
            <w:r w:rsidRPr="000A7465">
              <w:rPr>
                <w:rFonts w:ascii="Times New Roman" w:hAnsi="Times New Roman" w:cs="Times New Roman"/>
                <w:sz w:val="18"/>
                <w:szCs w:val="18"/>
              </w:rPr>
              <w:t xml:space="preserve"> </w:t>
            </w:r>
            <w:r w:rsidR="00E86016" w:rsidRPr="000A7465">
              <w:rPr>
                <w:rFonts w:ascii="Times New Roman" w:hAnsi="Times New Roman" w:cs="Times New Roman"/>
                <w:sz w:val="18"/>
                <w:szCs w:val="18"/>
              </w:rPr>
              <w:t>IPPs</w:t>
            </w:r>
          </w:p>
          <w:p w14:paraId="62117FD4" w14:textId="2E9F8C84" w:rsidR="00CE152A" w:rsidRPr="000A7465" w:rsidRDefault="0073093E" w:rsidP="00CE152A">
            <w:pPr>
              <w:pStyle w:val="ListParagraph"/>
              <w:numPr>
                <w:ilvl w:val="0"/>
                <w:numId w:val="2"/>
              </w:numPr>
              <w:rPr>
                <w:rFonts w:ascii="Times New Roman" w:hAnsi="Times New Roman" w:cs="Times New Roman"/>
                <w:sz w:val="18"/>
                <w:szCs w:val="18"/>
              </w:rPr>
            </w:pPr>
            <w:r w:rsidRPr="000A7465">
              <w:rPr>
                <w:rFonts w:ascii="Times New Roman" w:hAnsi="Times New Roman" w:cs="Times New Roman"/>
                <w:sz w:val="18"/>
                <w:szCs w:val="18"/>
              </w:rPr>
              <w:t xml:space="preserve">Soccer players </w:t>
            </w:r>
            <w:r w:rsidR="00C54E57" w:rsidRPr="000A7465">
              <w:rPr>
                <w:rFonts w:ascii="Times New Roman" w:hAnsi="Times New Roman" w:cs="Times New Roman"/>
                <w:sz w:val="18"/>
                <w:szCs w:val="18"/>
              </w:rPr>
              <w:t>of any age, skill level or sex</w:t>
            </w:r>
          </w:p>
          <w:p w14:paraId="1DAA7D20" w14:textId="19069F4D" w:rsidR="00AC2FF0" w:rsidRPr="000A7465" w:rsidRDefault="00AC2FF0">
            <w:pPr>
              <w:rPr>
                <w:rFonts w:ascii="Times New Roman" w:hAnsi="Times New Roman" w:cs="Times New Roman"/>
                <w:sz w:val="18"/>
                <w:szCs w:val="18"/>
              </w:rPr>
            </w:pPr>
          </w:p>
          <w:p w14:paraId="539CDEE8" w14:textId="279CAB82" w:rsidR="00B946D0" w:rsidRPr="000A7465" w:rsidRDefault="00B946D0">
            <w:pPr>
              <w:rPr>
                <w:rFonts w:ascii="Times New Roman" w:hAnsi="Times New Roman" w:cs="Times New Roman"/>
                <w:b/>
                <w:sz w:val="18"/>
                <w:szCs w:val="18"/>
              </w:rPr>
            </w:pPr>
            <w:r w:rsidRPr="000A7465">
              <w:rPr>
                <w:rFonts w:ascii="Times New Roman" w:hAnsi="Times New Roman" w:cs="Times New Roman"/>
                <w:b/>
                <w:sz w:val="18"/>
                <w:szCs w:val="18"/>
              </w:rPr>
              <w:t>Intervention:</w:t>
            </w:r>
          </w:p>
          <w:p w14:paraId="096841EE" w14:textId="0BFD6B33" w:rsidR="00B946D0" w:rsidRPr="000A7465" w:rsidRDefault="00B946D0" w:rsidP="00B946D0">
            <w:pPr>
              <w:pStyle w:val="ListParagraph"/>
              <w:numPr>
                <w:ilvl w:val="0"/>
                <w:numId w:val="2"/>
              </w:numPr>
              <w:rPr>
                <w:rFonts w:ascii="Times New Roman" w:hAnsi="Times New Roman" w:cs="Times New Roman"/>
                <w:sz w:val="18"/>
                <w:szCs w:val="18"/>
              </w:rPr>
            </w:pPr>
            <w:r w:rsidRPr="000A7465">
              <w:rPr>
                <w:rFonts w:ascii="Times New Roman" w:hAnsi="Times New Roman" w:cs="Times New Roman"/>
                <w:sz w:val="18"/>
                <w:szCs w:val="18"/>
              </w:rPr>
              <w:t xml:space="preserve">“11+” injury prevention program or “11” injury prevention program </w:t>
            </w:r>
          </w:p>
          <w:p w14:paraId="287F492D" w14:textId="11BAB89A" w:rsidR="00B946D0" w:rsidRPr="000A7465" w:rsidRDefault="00B946D0" w:rsidP="00B946D0">
            <w:pPr>
              <w:rPr>
                <w:rFonts w:ascii="Times New Roman" w:hAnsi="Times New Roman" w:cs="Times New Roman"/>
                <w:sz w:val="18"/>
                <w:szCs w:val="18"/>
              </w:rPr>
            </w:pPr>
            <w:r w:rsidRPr="000A7465">
              <w:rPr>
                <w:rFonts w:ascii="Times New Roman" w:hAnsi="Times New Roman" w:cs="Times New Roman"/>
                <w:b/>
                <w:sz w:val="18"/>
                <w:szCs w:val="18"/>
              </w:rPr>
              <w:t>Control</w:t>
            </w:r>
            <w:r w:rsidRPr="000A7465">
              <w:rPr>
                <w:rFonts w:ascii="Times New Roman" w:hAnsi="Times New Roman" w:cs="Times New Roman"/>
                <w:sz w:val="18"/>
                <w:szCs w:val="18"/>
              </w:rPr>
              <w:t>:</w:t>
            </w:r>
          </w:p>
          <w:p w14:paraId="406C6FA5" w14:textId="58A6D9BF" w:rsidR="00B946D0" w:rsidRPr="000A7465" w:rsidRDefault="00B946D0" w:rsidP="00B946D0">
            <w:pPr>
              <w:pStyle w:val="ListParagraph"/>
              <w:numPr>
                <w:ilvl w:val="0"/>
                <w:numId w:val="2"/>
              </w:numPr>
              <w:rPr>
                <w:rFonts w:ascii="Times New Roman" w:hAnsi="Times New Roman" w:cs="Times New Roman"/>
                <w:sz w:val="18"/>
                <w:szCs w:val="18"/>
              </w:rPr>
            </w:pPr>
            <w:r w:rsidRPr="000A7465">
              <w:rPr>
                <w:rFonts w:ascii="Times New Roman" w:hAnsi="Times New Roman" w:cs="Times New Roman"/>
                <w:sz w:val="18"/>
                <w:szCs w:val="18"/>
              </w:rPr>
              <w:t xml:space="preserve">No injury prevention program, routine warmup </w:t>
            </w:r>
          </w:p>
          <w:p w14:paraId="22C9E0B4" w14:textId="77777777" w:rsidR="00056DEA" w:rsidRPr="000A7465" w:rsidRDefault="00056DEA" w:rsidP="006F5BA1">
            <w:pPr>
              <w:rPr>
                <w:rFonts w:ascii="Times New Roman" w:hAnsi="Times New Roman" w:cs="Times New Roman"/>
                <w:b/>
                <w:sz w:val="18"/>
                <w:szCs w:val="18"/>
              </w:rPr>
            </w:pPr>
          </w:p>
          <w:p w14:paraId="283B2D08" w14:textId="30B377CC" w:rsidR="006F5BA1" w:rsidRPr="000A7465" w:rsidRDefault="006F5BA1" w:rsidP="006F5BA1">
            <w:pPr>
              <w:rPr>
                <w:rFonts w:ascii="Times New Roman" w:hAnsi="Times New Roman" w:cs="Times New Roman"/>
                <w:sz w:val="18"/>
                <w:szCs w:val="18"/>
              </w:rPr>
            </w:pPr>
            <w:r w:rsidRPr="000A7465">
              <w:rPr>
                <w:rFonts w:ascii="Times New Roman" w:hAnsi="Times New Roman" w:cs="Times New Roman"/>
                <w:b/>
                <w:sz w:val="18"/>
                <w:szCs w:val="18"/>
              </w:rPr>
              <w:t>Study characteristics</w:t>
            </w:r>
            <w:r w:rsidRPr="000A7465">
              <w:rPr>
                <w:rFonts w:ascii="Times New Roman" w:hAnsi="Times New Roman" w:cs="Times New Roman"/>
                <w:sz w:val="18"/>
                <w:szCs w:val="18"/>
              </w:rPr>
              <w:t xml:space="preserve"> </w:t>
            </w:r>
          </w:p>
          <w:p w14:paraId="013B4DFF" w14:textId="4C2BB872" w:rsidR="006F5BA1" w:rsidRPr="000A7465" w:rsidRDefault="006F5BA1" w:rsidP="00C54E57">
            <w:pPr>
              <w:pStyle w:val="ListParagraph"/>
              <w:numPr>
                <w:ilvl w:val="0"/>
                <w:numId w:val="2"/>
              </w:numPr>
              <w:rPr>
                <w:rFonts w:ascii="Times New Roman" w:hAnsi="Times New Roman" w:cs="Times New Roman"/>
                <w:sz w:val="18"/>
                <w:szCs w:val="18"/>
              </w:rPr>
            </w:pPr>
            <w:r w:rsidRPr="000A7465">
              <w:rPr>
                <w:rFonts w:ascii="Times New Roman" w:hAnsi="Times New Roman" w:cs="Times New Roman"/>
                <w:sz w:val="18"/>
                <w:szCs w:val="18"/>
              </w:rPr>
              <w:t>6 cluster randomized controlled trials, one prospective controlled trial and two cohort studies</w:t>
            </w:r>
          </w:p>
          <w:p w14:paraId="412C2F19" w14:textId="55611FC8" w:rsidR="006F5BA1" w:rsidRPr="000A7465" w:rsidRDefault="006F5BA1" w:rsidP="006F5BA1">
            <w:pPr>
              <w:pStyle w:val="ListParagraph"/>
              <w:numPr>
                <w:ilvl w:val="0"/>
                <w:numId w:val="2"/>
              </w:numPr>
              <w:rPr>
                <w:rFonts w:ascii="Times New Roman" w:hAnsi="Times New Roman" w:cs="Times New Roman"/>
                <w:sz w:val="18"/>
                <w:szCs w:val="18"/>
              </w:rPr>
            </w:pPr>
            <w:r w:rsidRPr="000A7465">
              <w:rPr>
                <w:rFonts w:ascii="Times New Roman" w:hAnsi="Times New Roman" w:cs="Times New Roman"/>
                <w:sz w:val="18"/>
                <w:szCs w:val="18"/>
              </w:rPr>
              <w:t xml:space="preserve">6 studies included male soccer players, and three studies included female soccer players </w:t>
            </w:r>
          </w:p>
          <w:p w14:paraId="0A0D1E57" w14:textId="6E1F7FF0" w:rsidR="006F5BA1" w:rsidRPr="000A7465" w:rsidRDefault="006F5BA1" w:rsidP="006F5BA1">
            <w:pPr>
              <w:pStyle w:val="ListParagraph"/>
              <w:numPr>
                <w:ilvl w:val="0"/>
                <w:numId w:val="2"/>
              </w:numPr>
              <w:rPr>
                <w:rFonts w:ascii="Times New Roman" w:hAnsi="Times New Roman" w:cs="Times New Roman"/>
                <w:sz w:val="18"/>
                <w:szCs w:val="18"/>
              </w:rPr>
            </w:pPr>
            <w:r w:rsidRPr="000A7465">
              <w:rPr>
                <w:rFonts w:ascii="Times New Roman" w:hAnsi="Times New Roman" w:cs="Times New Roman"/>
                <w:sz w:val="18"/>
                <w:szCs w:val="18"/>
              </w:rPr>
              <w:t>Length of intervention</w:t>
            </w:r>
            <w:r w:rsidR="00075B94" w:rsidRPr="000A7465">
              <w:rPr>
                <w:rFonts w:ascii="Times New Roman" w:hAnsi="Times New Roman" w:cs="Times New Roman"/>
                <w:sz w:val="18"/>
                <w:szCs w:val="18"/>
              </w:rPr>
              <w:t>: 12 weeks to</w:t>
            </w:r>
            <w:r w:rsidRPr="000A7465">
              <w:rPr>
                <w:rFonts w:ascii="Times New Roman" w:hAnsi="Times New Roman" w:cs="Times New Roman"/>
                <w:sz w:val="18"/>
                <w:szCs w:val="18"/>
              </w:rPr>
              <w:t xml:space="preserve"> 12 months</w:t>
            </w:r>
          </w:p>
          <w:p w14:paraId="750383C5" w14:textId="71290103" w:rsidR="00AC2FF0" w:rsidRPr="000A7465" w:rsidRDefault="006F5BA1" w:rsidP="00075B94">
            <w:pPr>
              <w:pStyle w:val="ListParagraph"/>
              <w:numPr>
                <w:ilvl w:val="0"/>
                <w:numId w:val="2"/>
              </w:numPr>
              <w:rPr>
                <w:rFonts w:ascii="Times New Roman" w:hAnsi="Times New Roman" w:cs="Times New Roman"/>
                <w:sz w:val="18"/>
                <w:szCs w:val="18"/>
              </w:rPr>
            </w:pPr>
            <w:r w:rsidRPr="000A7465">
              <w:rPr>
                <w:rFonts w:ascii="Times New Roman" w:hAnsi="Times New Roman" w:cs="Times New Roman"/>
                <w:sz w:val="18"/>
                <w:szCs w:val="18"/>
              </w:rPr>
              <w:t xml:space="preserve">5 studies evaluated the “11+” </w:t>
            </w:r>
            <w:r w:rsidR="00075B94" w:rsidRPr="000A7465">
              <w:rPr>
                <w:rFonts w:ascii="Times New Roman" w:hAnsi="Times New Roman" w:cs="Times New Roman"/>
                <w:sz w:val="18"/>
                <w:szCs w:val="18"/>
              </w:rPr>
              <w:t>IPP</w:t>
            </w:r>
            <w:r w:rsidRPr="000A7465">
              <w:rPr>
                <w:rFonts w:ascii="Times New Roman" w:hAnsi="Times New Roman" w:cs="Times New Roman"/>
                <w:sz w:val="18"/>
                <w:szCs w:val="18"/>
              </w:rPr>
              <w:t>, 3 evaluated the “11”</w:t>
            </w:r>
            <w:r w:rsidR="00075B94" w:rsidRPr="000A7465">
              <w:rPr>
                <w:rFonts w:ascii="Times New Roman" w:hAnsi="Times New Roman" w:cs="Times New Roman"/>
                <w:sz w:val="18"/>
                <w:szCs w:val="18"/>
              </w:rPr>
              <w:t xml:space="preserve"> IPP</w:t>
            </w:r>
            <w:r w:rsidRPr="000A7465">
              <w:rPr>
                <w:rFonts w:ascii="Times New Roman" w:hAnsi="Times New Roman" w:cs="Times New Roman"/>
                <w:sz w:val="18"/>
                <w:szCs w:val="18"/>
              </w:rPr>
              <w:t xml:space="preserve">, </w:t>
            </w:r>
            <w:r w:rsidR="00075B94" w:rsidRPr="000A7465">
              <w:rPr>
                <w:rFonts w:ascii="Times New Roman" w:hAnsi="Times New Roman" w:cs="Times New Roman"/>
                <w:sz w:val="18"/>
                <w:szCs w:val="18"/>
              </w:rPr>
              <w:t>and one study used the</w:t>
            </w:r>
            <w:r w:rsidRPr="000A7465">
              <w:rPr>
                <w:rFonts w:ascii="Times New Roman" w:hAnsi="Times New Roman" w:cs="Times New Roman"/>
                <w:sz w:val="18"/>
                <w:szCs w:val="18"/>
              </w:rPr>
              <w:t xml:space="preserve"> “F-MARC Bricks”</w:t>
            </w:r>
          </w:p>
        </w:tc>
        <w:tc>
          <w:tcPr>
            <w:tcW w:w="4584" w:type="dxa"/>
          </w:tcPr>
          <w:p w14:paraId="21E97EC5" w14:textId="1AD86AAD" w:rsidR="00117626" w:rsidRPr="000A7465" w:rsidRDefault="00117626">
            <w:pPr>
              <w:rPr>
                <w:rFonts w:ascii="Times New Roman" w:hAnsi="Times New Roman" w:cs="Times New Roman"/>
                <w:sz w:val="18"/>
                <w:szCs w:val="18"/>
              </w:rPr>
            </w:pPr>
            <w:r w:rsidRPr="000A7465">
              <w:rPr>
                <w:rFonts w:ascii="Times New Roman" w:hAnsi="Times New Roman" w:cs="Times New Roman"/>
                <w:b/>
                <w:sz w:val="18"/>
                <w:szCs w:val="18"/>
              </w:rPr>
              <w:t>Injury Rate Ratio</w:t>
            </w:r>
            <w:r w:rsidRPr="000A7465">
              <w:rPr>
                <w:rFonts w:ascii="Times New Roman" w:hAnsi="Times New Roman" w:cs="Times New Roman"/>
                <w:sz w:val="18"/>
                <w:szCs w:val="18"/>
              </w:rPr>
              <w:t xml:space="preserve">= injury rate in intervention group / injury rate in control group, per 1000 </w:t>
            </w:r>
            <w:proofErr w:type="gramStart"/>
            <w:r w:rsidRPr="000A7465">
              <w:rPr>
                <w:rFonts w:ascii="Times New Roman" w:hAnsi="Times New Roman" w:cs="Times New Roman"/>
                <w:sz w:val="18"/>
                <w:szCs w:val="18"/>
              </w:rPr>
              <w:t>h</w:t>
            </w:r>
            <w:r w:rsidR="003D7BEA" w:rsidRPr="000A7465">
              <w:rPr>
                <w:rFonts w:ascii="Times New Roman" w:hAnsi="Times New Roman" w:cs="Times New Roman"/>
                <w:sz w:val="18"/>
                <w:szCs w:val="18"/>
              </w:rPr>
              <w:t>ours</w:t>
            </w:r>
            <w:proofErr w:type="gramEnd"/>
            <w:r w:rsidRPr="000A7465">
              <w:rPr>
                <w:rFonts w:ascii="Times New Roman" w:hAnsi="Times New Roman" w:cs="Times New Roman"/>
                <w:sz w:val="18"/>
                <w:szCs w:val="18"/>
              </w:rPr>
              <w:t xml:space="preserve"> exposure </w:t>
            </w:r>
          </w:p>
          <w:p w14:paraId="6237D0F4" w14:textId="77777777" w:rsidR="00117626" w:rsidRPr="000A7465" w:rsidRDefault="00117626">
            <w:pPr>
              <w:rPr>
                <w:rFonts w:ascii="Times New Roman" w:hAnsi="Times New Roman" w:cs="Times New Roman"/>
                <w:sz w:val="18"/>
                <w:szCs w:val="18"/>
              </w:rPr>
            </w:pPr>
          </w:p>
          <w:p w14:paraId="7550D550" w14:textId="2B2AA9E9" w:rsidR="00056DEA" w:rsidRPr="000A7465" w:rsidRDefault="00117626" w:rsidP="00102CFD">
            <w:pPr>
              <w:rPr>
                <w:rFonts w:ascii="Times New Roman" w:hAnsi="Times New Roman" w:cs="Times New Roman"/>
                <w:b/>
                <w:sz w:val="18"/>
                <w:szCs w:val="18"/>
              </w:rPr>
            </w:pPr>
            <w:r w:rsidRPr="000A7465">
              <w:rPr>
                <w:rFonts w:ascii="Times New Roman" w:hAnsi="Times New Roman" w:cs="Times New Roman"/>
                <w:b/>
                <w:sz w:val="18"/>
                <w:szCs w:val="18"/>
              </w:rPr>
              <w:t xml:space="preserve">Combined </w:t>
            </w:r>
            <w:r w:rsidR="00056DEA" w:rsidRPr="000A7465">
              <w:rPr>
                <w:rFonts w:ascii="Times New Roman" w:hAnsi="Times New Roman" w:cs="Times New Roman"/>
                <w:b/>
                <w:sz w:val="18"/>
                <w:szCs w:val="18"/>
              </w:rPr>
              <w:t>IPPs</w:t>
            </w:r>
            <w:r w:rsidR="00102CFD" w:rsidRPr="000A7465">
              <w:rPr>
                <w:rFonts w:ascii="Times New Roman" w:hAnsi="Times New Roman" w:cs="Times New Roman"/>
                <w:b/>
                <w:sz w:val="18"/>
                <w:szCs w:val="18"/>
              </w:rPr>
              <w:t xml:space="preserve"> (“11” &amp; “11+”)</w:t>
            </w:r>
            <w:r w:rsidRPr="000A7465">
              <w:rPr>
                <w:rFonts w:ascii="Times New Roman" w:hAnsi="Times New Roman" w:cs="Times New Roman"/>
                <w:b/>
                <w:sz w:val="18"/>
                <w:szCs w:val="18"/>
              </w:rPr>
              <w:t xml:space="preserve"> versus control </w:t>
            </w:r>
          </w:p>
          <w:tbl>
            <w:tblPr>
              <w:tblStyle w:val="TableGrid"/>
              <w:tblW w:w="0" w:type="auto"/>
              <w:tblInd w:w="72" w:type="dxa"/>
              <w:tblLayout w:type="fixed"/>
              <w:tblLook w:val="04A0" w:firstRow="1" w:lastRow="0" w:firstColumn="1" w:lastColumn="0" w:noHBand="0" w:noVBand="1"/>
            </w:tblPr>
            <w:tblGrid>
              <w:gridCol w:w="1416"/>
              <w:gridCol w:w="810"/>
              <w:gridCol w:w="990"/>
              <w:gridCol w:w="900"/>
            </w:tblGrid>
            <w:tr w:rsidR="00102CFD" w:rsidRPr="000A7465" w14:paraId="05FD76D8" w14:textId="77777777" w:rsidTr="00102CFD">
              <w:tc>
                <w:tcPr>
                  <w:tcW w:w="1416" w:type="dxa"/>
                </w:tcPr>
                <w:p w14:paraId="422BA8EE" w14:textId="77777777" w:rsidR="00697528" w:rsidRPr="000A7465" w:rsidRDefault="00697528" w:rsidP="005C3BAE">
                  <w:pPr>
                    <w:rPr>
                      <w:rFonts w:ascii="Times New Roman" w:hAnsi="Times New Roman" w:cs="Times New Roman"/>
                      <w:b/>
                      <w:sz w:val="18"/>
                      <w:szCs w:val="18"/>
                    </w:rPr>
                  </w:pPr>
                  <w:r w:rsidRPr="000A7465">
                    <w:rPr>
                      <w:rFonts w:ascii="Times New Roman" w:hAnsi="Times New Roman" w:cs="Times New Roman"/>
                      <w:b/>
                      <w:sz w:val="18"/>
                      <w:szCs w:val="18"/>
                    </w:rPr>
                    <w:t>Injury type</w:t>
                  </w:r>
                </w:p>
              </w:tc>
              <w:tc>
                <w:tcPr>
                  <w:tcW w:w="810" w:type="dxa"/>
                </w:tcPr>
                <w:p w14:paraId="1FFC8748" w14:textId="39809195" w:rsidR="00697528" w:rsidRPr="000A7465" w:rsidRDefault="00697528" w:rsidP="005C3BAE">
                  <w:pPr>
                    <w:rPr>
                      <w:rFonts w:ascii="Times New Roman" w:hAnsi="Times New Roman" w:cs="Times New Roman"/>
                      <w:b/>
                      <w:sz w:val="18"/>
                      <w:szCs w:val="18"/>
                    </w:rPr>
                  </w:pPr>
                  <w:r w:rsidRPr="000A7465">
                    <w:rPr>
                      <w:rFonts w:ascii="Times New Roman" w:hAnsi="Times New Roman" w:cs="Times New Roman"/>
                      <w:b/>
                      <w:sz w:val="18"/>
                      <w:szCs w:val="18"/>
                    </w:rPr>
                    <w:t>IRR</w:t>
                  </w:r>
                </w:p>
              </w:tc>
              <w:tc>
                <w:tcPr>
                  <w:tcW w:w="990" w:type="dxa"/>
                </w:tcPr>
                <w:p w14:paraId="35DEA04F" w14:textId="77777777" w:rsidR="00697528" w:rsidRPr="000A7465" w:rsidRDefault="00697528" w:rsidP="005C3BAE">
                  <w:pPr>
                    <w:rPr>
                      <w:rFonts w:ascii="Times New Roman" w:hAnsi="Times New Roman" w:cs="Times New Roman"/>
                      <w:b/>
                      <w:sz w:val="18"/>
                      <w:szCs w:val="18"/>
                    </w:rPr>
                  </w:pPr>
                  <w:r w:rsidRPr="000A7465">
                    <w:rPr>
                      <w:rFonts w:ascii="Times New Roman" w:hAnsi="Times New Roman" w:cs="Times New Roman"/>
                      <w:b/>
                      <w:sz w:val="18"/>
                      <w:szCs w:val="18"/>
                    </w:rPr>
                    <w:t>95% CI</w:t>
                  </w:r>
                </w:p>
              </w:tc>
              <w:tc>
                <w:tcPr>
                  <w:tcW w:w="900" w:type="dxa"/>
                </w:tcPr>
                <w:p w14:paraId="38B8D7A8" w14:textId="77777777" w:rsidR="00697528" w:rsidRPr="000A7465" w:rsidRDefault="00697528" w:rsidP="005C3BAE">
                  <w:pPr>
                    <w:rPr>
                      <w:rFonts w:ascii="Times New Roman" w:hAnsi="Times New Roman" w:cs="Times New Roman"/>
                      <w:b/>
                      <w:sz w:val="18"/>
                      <w:szCs w:val="18"/>
                    </w:rPr>
                  </w:pPr>
                  <w:r w:rsidRPr="000A7465">
                    <w:rPr>
                      <w:rFonts w:ascii="Times New Roman" w:hAnsi="Times New Roman" w:cs="Times New Roman"/>
                      <w:b/>
                      <w:sz w:val="18"/>
                      <w:szCs w:val="18"/>
                    </w:rPr>
                    <w:t>p value</w:t>
                  </w:r>
                </w:p>
              </w:tc>
            </w:tr>
            <w:tr w:rsidR="00102CFD" w:rsidRPr="000A7465" w14:paraId="4AADA202" w14:textId="77777777" w:rsidTr="00102CFD">
              <w:tc>
                <w:tcPr>
                  <w:tcW w:w="1416" w:type="dxa"/>
                </w:tcPr>
                <w:p w14:paraId="67C4E18E" w14:textId="1C97B29A" w:rsidR="00697528" w:rsidRPr="000A7465" w:rsidRDefault="00102CFD" w:rsidP="005C3BAE">
                  <w:pPr>
                    <w:rPr>
                      <w:rFonts w:ascii="Times New Roman" w:hAnsi="Times New Roman" w:cs="Times New Roman"/>
                      <w:sz w:val="18"/>
                      <w:szCs w:val="18"/>
                    </w:rPr>
                  </w:pPr>
                  <w:r w:rsidRPr="000A7465">
                    <w:rPr>
                      <w:rFonts w:ascii="Times New Roman" w:hAnsi="Times New Roman" w:cs="Times New Roman"/>
                      <w:sz w:val="18"/>
                      <w:szCs w:val="18"/>
                    </w:rPr>
                    <w:t>overall injury</w:t>
                  </w:r>
                </w:p>
              </w:tc>
              <w:tc>
                <w:tcPr>
                  <w:tcW w:w="810" w:type="dxa"/>
                </w:tcPr>
                <w:p w14:paraId="070E016C" w14:textId="38192BCF" w:rsidR="00697528" w:rsidRPr="000A7465" w:rsidRDefault="00697528" w:rsidP="005C3BAE">
                  <w:pPr>
                    <w:rPr>
                      <w:rFonts w:ascii="Times New Roman" w:hAnsi="Times New Roman" w:cs="Times New Roman"/>
                      <w:sz w:val="18"/>
                      <w:szCs w:val="18"/>
                    </w:rPr>
                  </w:pPr>
                  <w:r w:rsidRPr="000A7465">
                    <w:rPr>
                      <w:rFonts w:ascii="Times New Roman" w:hAnsi="Times New Roman" w:cs="Times New Roman"/>
                      <w:sz w:val="18"/>
                      <w:szCs w:val="18"/>
                    </w:rPr>
                    <w:t>0.771</w:t>
                  </w:r>
                </w:p>
              </w:tc>
              <w:tc>
                <w:tcPr>
                  <w:tcW w:w="990" w:type="dxa"/>
                </w:tcPr>
                <w:p w14:paraId="3F5930E0" w14:textId="5FFADBBB" w:rsidR="00697528" w:rsidRPr="000A7465" w:rsidRDefault="00697528" w:rsidP="005C3BAE">
                  <w:pPr>
                    <w:rPr>
                      <w:rFonts w:ascii="Times New Roman" w:hAnsi="Times New Roman" w:cs="Times New Roman"/>
                      <w:sz w:val="18"/>
                      <w:szCs w:val="18"/>
                    </w:rPr>
                  </w:pPr>
                  <w:r w:rsidRPr="000A7465">
                    <w:rPr>
                      <w:rFonts w:ascii="Times New Roman" w:hAnsi="Times New Roman" w:cs="Times New Roman"/>
                      <w:sz w:val="18"/>
                      <w:szCs w:val="18"/>
                    </w:rPr>
                    <w:t>0.65-0.92</w:t>
                  </w:r>
                </w:p>
              </w:tc>
              <w:tc>
                <w:tcPr>
                  <w:tcW w:w="900" w:type="dxa"/>
                </w:tcPr>
                <w:p w14:paraId="5BB4D465" w14:textId="15C603BD" w:rsidR="00697528" w:rsidRPr="000A7465" w:rsidRDefault="00697528" w:rsidP="00697528">
                  <w:pPr>
                    <w:rPr>
                      <w:rFonts w:ascii="Times New Roman" w:hAnsi="Times New Roman" w:cs="Times New Roman"/>
                      <w:sz w:val="18"/>
                      <w:szCs w:val="18"/>
                    </w:rPr>
                  </w:pPr>
                  <w:r w:rsidRPr="000A7465">
                    <w:rPr>
                      <w:rFonts w:ascii="Times New Roman" w:hAnsi="Times New Roman" w:cs="Times New Roman"/>
                      <w:sz w:val="18"/>
                      <w:szCs w:val="18"/>
                    </w:rPr>
                    <w:t>0.003 *</w:t>
                  </w:r>
                </w:p>
              </w:tc>
            </w:tr>
            <w:tr w:rsidR="00102CFD" w:rsidRPr="000A7465" w14:paraId="284956D9" w14:textId="77777777" w:rsidTr="00102CFD">
              <w:tc>
                <w:tcPr>
                  <w:tcW w:w="1416" w:type="dxa"/>
                </w:tcPr>
                <w:p w14:paraId="022CF93A" w14:textId="44B8CF04" w:rsidR="00697528" w:rsidRPr="000A7465" w:rsidRDefault="00697528" w:rsidP="005C3BAE">
                  <w:pPr>
                    <w:rPr>
                      <w:rFonts w:ascii="Times New Roman" w:hAnsi="Times New Roman" w:cs="Times New Roman"/>
                      <w:sz w:val="18"/>
                      <w:szCs w:val="18"/>
                    </w:rPr>
                  </w:pPr>
                  <w:r w:rsidRPr="000A7465">
                    <w:rPr>
                      <w:rFonts w:ascii="Times New Roman" w:hAnsi="Times New Roman" w:cs="Times New Roman"/>
                      <w:sz w:val="18"/>
                      <w:szCs w:val="18"/>
                    </w:rPr>
                    <w:t>LE injury</w:t>
                  </w:r>
                </w:p>
              </w:tc>
              <w:tc>
                <w:tcPr>
                  <w:tcW w:w="810" w:type="dxa"/>
                </w:tcPr>
                <w:p w14:paraId="1261D906" w14:textId="0AE6A4F1" w:rsidR="00697528" w:rsidRPr="000A7465" w:rsidRDefault="00697528" w:rsidP="005C3BAE">
                  <w:pPr>
                    <w:rPr>
                      <w:rFonts w:ascii="Times New Roman" w:hAnsi="Times New Roman" w:cs="Times New Roman"/>
                      <w:sz w:val="18"/>
                      <w:szCs w:val="18"/>
                    </w:rPr>
                  </w:pPr>
                  <w:r w:rsidRPr="000A7465">
                    <w:rPr>
                      <w:rFonts w:ascii="Times New Roman" w:hAnsi="Times New Roman" w:cs="Times New Roman"/>
                      <w:sz w:val="18"/>
                      <w:szCs w:val="18"/>
                    </w:rPr>
                    <w:t>0.762</w:t>
                  </w:r>
                </w:p>
              </w:tc>
              <w:tc>
                <w:tcPr>
                  <w:tcW w:w="990" w:type="dxa"/>
                </w:tcPr>
                <w:p w14:paraId="4ECF8270" w14:textId="0DB9F81D" w:rsidR="00697528" w:rsidRPr="000A7465" w:rsidRDefault="00697528" w:rsidP="005C3BAE">
                  <w:pPr>
                    <w:rPr>
                      <w:rFonts w:ascii="Times New Roman" w:hAnsi="Times New Roman" w:cs="Times New Roman"/>
                      <w:sz w:val="18"/>
                      <w:szCs w:val="18"/>
                    </w:rPr>
                  </w:pPr>
                  <w:r w:rsidRPr="000A7465">
                    <w:rPr>
                      <w:rFonts w:ascii="Times New Roman" w:hAnsi="Times New Roman" w:cs="Times New Roman"/>
                      <w:sz w:val="18"/>
                      <w:szCs w:val="18"/>
                    </w:rPr>
                    <w:t>0.62-0.94</w:t>
                  </w:r>
                </w:p>
              </w:tc>
              <w:tc>
                <w:tcPr>
                  <w:tcW w:w="900" w:type="dxa"/>
                </w:tcPr>
                <w:p w14:paraId="09CBE991" w14:textId="56A3D099" w:rsidR="00697528" w:rsidRPr="000A7465" w:rsidRDefault="00697528" w:rsidP="005C3BAE">
                  <w:pPr>
                    <w:rPr>
                      <w:rFonts w:ascii="Times New Roman" w:hAnsi="Times New Roman" w:cs="Times New Roman"/>
                      <w:sz w:val="18"/>
                      <w:szCs w:val="18"/>
                    </w:rPr>
                  </w:pPr>
                  <w:r w:rsidRPr="000A7465">
                    <w:rPr>
                      <w:rFonts w:ascii="Times New Roman" w:hAnsi="Times New Roman" w:cs="Times New Roman"/>
                      <w:sz w:val="18"/>
                      <w:szCs w:val="18"/>
                    </w:rPr>
                    <w:t>0.009*</w:t>
                  </w:r>
                </w:p>
              </w:tc>
            </w:tr>
            <w:tr w:rsidR="00102CFD" w:rsidRPr="000A7465" w14:paraId="74CBD10D" w14:textId="77777777" w:rsidTr="00102CFD">
              <w:tc>
                <w:tcPr>
                  <w:tcW w:w="1416" w:type="dxa"/>
                </w:tcPr>
                <w:p w14:paraId="20958598" w14:textId="4502FC88" w:rsidR="00697528" w:rsidRPr="000A7465" w:rsidRDefault="00697528" w:rsidP="005C3BAE">
                  <w:pPr>
                    <w:rPr>
                      <w:rFonts w:ascii="Times New Roman" w:hAnsi="Times New Roman" w:cs="Times New Roman"/>
                      <w:sz w:val="18"/>
                      <w:szCs w:val="18"/>
                    </w:rPr>
                  </w:pPr>
                  <w:r w:rsidRPr="000A7465">
                    <w:rPr>
                      <w:rFonts w:ascii="Times New Roman" w:hAnsi="Times New Roman" w:cs="Times New Roman"/>
                      <w:sz w:val="18"/>
                      <w:szCs w:val="18"/>
                    </w:rPr>
                    <w:t xml:space="preserve">Males </w:t>
                  </w:r>
                </w:p>
              </w:tc>
              <w:tc>
                <w:tcPr>
                  <w:tcW w:w="810" w:type="dxa"/>
                </w:tcPr>
                <w:p w14:paraId="2332EBFE" w14:textId="6FCBA546" w:rsidR="00697528" w:rsidRPr="000A7465" w:rsidRDefault="00697528" w:rsidP="005C3BAE">
                  <w:pPr>
                    <w:rPr>
                      <w:rFonts w:ascii="Times New Roman" w:hAnsi="Times New Roman" w:cs="Times New Roman"/>
                      <w:sz w:val="18"/>
                      <w:szCs w:val="18"/>
                    </w:rPr>
                  </w:pPr>
                  <w:r w:rsidRPr="000A7465">
                    <w:rPr>
                      <w:rFonts w:ascii="Times New Roman" w:hAnsi="Times New Roman" w:cs="Times New Roman"/>
                      <w:sz w:val="18"/>
                      <w:szCs w:val="18"/>
                    </w:rPr>
                    <w:t>0.705</w:t>
                  </w:r>
                </w:p>
              </w:tc>
              <w:tc>
                <w:tcPr>
                  <w:tcW w:w="990" w:type="dxa"/>
                </w:tcPr>
                <w:p w14:paraId="73942598" w14:textId="25482432" w:rsidR="00697528" w:rsidRPr="000A7465" w:rsidRDefault="00697528" w:rsidP="005C3BAE">
                  <w:pPr>
                    <w:rPr>
                      <w:rFonts w:ascii="Times New Roman" w:hAnsi="Times New Roman" w:cs="Times New Roman"/>
                      <w:sz w:val="18"/>
                      <w:szCs w:val="18"/>
                    </w:rPr>
                  </w:pPr>
                  <w:r w:rsidRPr="000A7465">
                    <w:rPr>
                      <w:rFonts w:ascii="Times New Roman" w:hAnsi="Times New Roman" w:cs="Times New Roman"/>
                      <w:sz w:val="18"/>
                      <w:szCs w:val="18"/>
                    </w:rPr>
                    <w:t>0.53-0.93</w:t>
                  </w:r>
                </w:p>
              </w:tc>
              <w:tc>
                <w:tcPr>
                  <w:tcW w:w="900" w:type="dxa"/>
                </w:tcPr>
                <w:p w14:paraId="15732C83" w14:textId="7D221C57" w:rsidR="00697528" w:rsidRPr="000A7465" w:rsidRDefault="00102CFD" w:rsidP="005C3BAE">
                  <w:pPr>
                    <w:rPr>
                      <w:rFonts w:ascii="Times New Roman" w:hAnsi="Times New Roman" w:cs="Times New Roman"/>
                      <w:sz w:val="18"/>
                      <w:szCs w:val="18"/>
                    </w:rPr>
                  </w:pPr>
                  <w:r w:rsidRPr="000A7465">
                    <w:rPr>
                      <w:rFonts w:ascii="Times New Roman" w:hAnsi="Times New Roman" w:cs="Times New Roman"/>
                      <w:sz w:val="18"/>
                      <w:szCs w:val="18"/>
                    </w:rPr>
                    <w:t>0.013*</w:t>
                  </w:r>
                </w:p>
              </w:tc>
            </w:tr>
            <w:tr w:rsidR="00102CFD" w:rsidRPr="000A7465" w14:paraId="14EC4505" w14:textId="77777777" w:rsidTr="00102CFD">
              <w:tc>
                <w:tcPr>
                  <w:tcW w:w="1416" w:type="dxa"/>
                </w:tcPr>
                <w:p w14:paraId="5650B4C8" w14:textId="47208770" w:rsidR="00697528" w:rsidRPr="000A7465" w:rsidRDefault="00697528" w:rsidP="005C3BAE">
                  <w:pPr>
                    <w:rPr>
                      <w:rFonts w:ascii="Times New Roman" w:hAnsi="Times New Roman" w:cs="Times New Roman"/>
                      <w:sz w:val="18"/>
                      <w:szCs w:val="18"/>
                    </w:rPr>
                  </w:pPr>
                  <w:r w:rsidRPr="000A7465">
                    <w:rPr>
                      <w:rFonts w:ascii="Times New Roman" w:hAnsi="Times New Roman" w:cs="Times New Roman"/>
                      <w:sz w:val="18"/>
                      <w:szCs w:val="18"/>
                    </w:rPr>
                    <w:t>Females</w:t>
                  </w:r>
                </w:p>
              </w:tc>
              <w:tc>
                <w:tcPr>
                  <w:tcW w:w="810" w:type="dxa"/>
                </w:tcPr>
                <w:p w14:paraId="71344FAB" w14:textId="20A63C7B" w:rsidR="00697528" w:rsidRPr="000A7465" w:rsidRDefault="00102CFD" w:rsidP="005C3BAE">
                  <w:pPr>
                    <w:rPr>
                      <w:rFonts w:ascii="Times New Roman" w:hAnsi="Times New Roman" w:cs="Times New Roman"/>
                      <w:sz w:val="18"/>
                      <w:szCs w:val="18"/>
                    </w:rPr>
                  </w:pPr>
                  <w:r w:rsidRPr="000A7465">
                    <w:rPr>
                      <w:rFonts w:ascii="Times New Roman" w:hAnsi="Times New Roman" w:cs="Times New Roman"/>
                      <w:sz w:val="18"/>
                      <w:szCs w:val="18"/>
                    </w:rPr>
                    <w:t>0.818</w:t>
                  </w:r>
                </w:p>
              </w:tc>
              <w:tc>
                <w:tcPr>
                  <w:tcW w:w="990" w:type="dxa"/>
                </w:tcPr>
                <w:p w14:paraId="7EE14C5A" w14:textId="246AEC5D" w:rsidR="00697528" w:rsidRPr="000A7465" w:rsidRDefault="00102CFD" w:rsidP="005C3BAE">
                  <w:pPr>
                    <w:rPr>
                      <w:rFonts w:ascii="Times New Roman" w:hAnsi="Times New Roman" w:cs="Times New Roman"/>
                      <w:sz w:val="18"/>
                      <w:szCs w:val="18"/>
                    </w:rPr>
                  </w:pPr>
                  <w:r w:rsidRPr="000A7465">
                    <w:rPr>
                      <w:rFonts w:ascii="Times New Roman" w:hAnsi="Times New Roman" w:cs="Times New Roman"/>
                      <w:sz w:val="18"/>
                      <w:szCs w:val="18"/>
                    </w:rPr>
                    <w:t>0.60-1.11</w:t>
                  </w:r>
                </w:p>
              </w:tc>
              <w:tc>
                <w:tcPr>
                  <w:tcW w:w="900" w:type="dxa"/>
                </w:tcPr>
                <w:p w14:paraId="243B1501" w14:textId="73FF0C50" w:rsidR="00697528" w:rsidRPr="000A7465" w:rsidRDefault="00102CFD" w:rsidP="005C3BAE">
                  <w:pPr>
                    <w:rPr>
                      <w:rFonts w:ascii="Times New Roman" w:hAnsi="Times New Roman" w:cs="Times New Roman"/>
                      <w:sz w:val="18"/>
                      <w:szCs w:val="18"/>
                    </w:rPr>
                  </w:pPr>
                  <w:r w:rsidRPr="000A7465">
                    <w:rPr>
                      <w:rFonts w:ascii="Times New Roman" w:hAnsi="Times New Roman" w:cs="Times New Roman"/>
                      <w:sz w:val="18"/>
                      <w:szCs w:val="18"/>
                    </w:rPr>
                    <w:t>0.197</w:t>
                  </w:r>
                </w:p>
              </w:tc>
            </w:tr>
          </w:tbl>
          <w:p w14:paraId="0C07CF2C" w14:textId="77777777" w:rsidR="00117626" w:rsidRPr="000A7465" w:rsidRDefault="00117626" w:rsidP="00117626">
            <w:pPr>
              <w:rPr>
                <w:rFonts w:ascii="Times New Roman" w:hAnsi="Times New Roman" w:cs="Times New Roman"/>
                <w:sz w:val="18"/>
                <w:szCs w:val="18"/>
              </w:rPr>
            </w:pPr>
          </w:p>
          <w:p w14:paraId="64852646" w14:textId="63270D69" w:rsidR="00117626" w:rsidRPr="000A7465" w:rsidRDefault="006F1523" w:rsidP="00117626">
            <w:pPr>
              <w:rPr>
                <w:rFonts w:ascii="Times New Roman" w:hAnsi="Times New Roman" w:cs="Times New Roman"/>
                <w:b/>
                <w:sz w:val="18"/>
                <w:szCs w:val="18"/>
              </w:rPr>
            </w:pPr>
            <w:r>
              <w:rPr>
                <w:rFonts w:ascii="Times New Roman" w:hAnsi="Times New Roman" w:cs="Times New Roman"/>
                <w:b/>
                <w:sz w:val="18"/>
                <w:szCs w:val="18"/>
              </w:rPr>
              <w:t>“</w:t>
            </w:r>
            <w:r w:rsidR="00117626" w:rsidRPr="000A7465">
              <w:rPr>
                <w:rFonts w:ascii="Times New Roman" w:hAnsi="Times New Roman" w:cs="Times New Roman"/>
                <w:b/>
                <w:sz w:val="18"/>
                <w:szCs w:val="18"/>
              </w:rPr>
              <w:t>11+</w:t>
            </w:r>
            <w:r>
              <w:rPr>
                <w:rFonts w:ascii="Times New Roman" w:hAnsi="Times New Roman" w:cs="Times New Roman"/>
                <w:b/>
                <w:sz w:val="18"/>
                <w:szCs w:val="18"/>
              </w:rPr>
              <w:t>”</w:t>
            </w:r>
            <w:r w:rsidR="00117626" w:rsidRPr="000A7465">
              <w:rPr>
                <w:rFonts w:ascii="Times New Roman" w:hAnsi="Times New Roman" w:cs="Times New Roman"/>
                <w:b/>
                <w:sz w:val="18"/>
                <w:szCs w:val="18"/>
              </w:rPr>
              <w:t xml:space="preserve"> injury prevention program versus control </w:t>
            </w:r>
          </w:p>
          <w:tbl>
            <w:tblPr>
              <w:tblStyle w:val="TableGrid"/>
              <w:tblW w:w="0" w:type="auto"/>
              <w:tblInd w:w="72" w:type="dxa"/>
              <w:tblLayout w:type="fixed"/>
              <w:tblLook w:val="04A0" w:firstRow="1" w:lastRow="0" w:firstColumn="1" w:lastColumn="0" w:noHBand="0" w:noVBand="1"/>
            </w:tblPr>
            <w:tblGrid>
              <w:gridCol w:w="1416"/>
              <w:gridCol w:w="810"/>
              <w:gridCol w:w="990"/>
              <w:gridCol w:w="900"/>
            </w:tblGrid>
            <w:tr w:rsidR="00102CFD" w:rsidRPr="000A7465" w14:paraId="2E813A8C" w14:textId="77777777" w:rsidTr="005C3BAE">
              <w:tc>
                <w:tcPr>
                  <w:tcW w:w="1416" w:type="dxa"/>
                </w:tcPr>
                <w:p w14:paraId="096B40F2" w14:textId="77777777" w:rsidR="00102CFD" w:rsidRPr="000A7465" w:rsidRDefault="00102CFD" w:rsidP="005C3BAE">
                  <w:pPr>
                    <w:rPr>
                      <w:rFonts w:ascii="Times New Roman" w:hAnsi="Times New Roman" w:cs="Times New Roman"/>
                      <w:b/>
                      <w:sz w:val="18"/>
                      <w:szCs w:val="18"/>
                    </w:rPr>
                  </w:pPr>
                  <w:r w:rsidRPr="000A7465">
                    <w:rPr>
                      <w:rFonts w:ascii="Times New Roman" w:hAnsi="Times New Roman" w:cs="Times New Roman"/>
                      <w:b/>
                      <w:sz w:val="18"/>
                      <w:szCs w:val="18"/>
                    </w:rPr>
                    <w:t>Injury type</w:t>
                  </w:r>
                </w:p>
              </w:tc>
              <w:tc>
                <w:tcPr>
                  <w:tcW w:w="810" w:type="dxa"/>
                </w:tcPr>
                <w:p w14:paraId="72A73537" w14:textId="77777777" w:rsidR="00102CFD" w:rsidRPr="000A7465" w:rsidRDefault="00102CFD" w:rsidP="005C3BAE">
                  <w:pPr>
                    <w:rPr>
                      <w:rFonts w:ascii="Times New Roman" w:hAnsi="Times New Roman" w:cs="Times New Roman"/>
                      <w:b/>
                      <w:sz w:val="18"/>
                      <w:szCs w:val="18"/>
                    </w:rPr>
                  </w:pPr>
                  <w:r w:rsidRPr="000A7465">
                    <w:rPr>
                      <w:rFonts w:ascii="Times New Roman" w:hAnsi="Times New Roman" w:cs="Times New Roman"/>
                      <w:b/>
                      <w:sz w:val="18"/>
                      <w:szCs w:val="18"/>
                    </w:rPr>
                    <w:t>IRR</w:t>
                  </w:r>
                </w:p>
              </w:tc>
              <w:tc>
                <w:tcPr>
                  <w:tcW w:w="990" w:type="dxa"/>
                </w:tcPr>
                <w:p w14:paraId="13B16CC1" w14:textId="77777777" w:rsidR="00102CFD" w:rsidRPr="000A7465" w:rsidRDefault="00102CFD" w:rsidP="005C3BAE">
                  <w:pPr>
                    <w:rPr>
                      <w:rFonts w:ascii="Times New Roman" w:hAnsi="Times New Roman" w:cs="Times New Roman"/>
                      <w:b/>
                      <w:sz w:val="18"/>
                      <w:szCs w:val="18"/>
                    </w:rPr>
                  </w:pPr>
                  <w:r w:rsidRPr="000A7465">
                    <w:rPr>
                      <w:rFonts w:ascii="Times New Roman" w:hAnsi="Times New Roman" w:cs="Times New Roman"/>
                      <w:b/>
                      <w:sz w:val="18"/>
                      <w:szCs w:val="18"/>
                    </w:rPr>
                    <w:t>95% CI</w:t>
                  </w:r>
                </w:p>
              </w:tc>
              <w:tc>
                <w:tcPr>
                  <w:tcW w:w="900" w:type="dxa"/>
                </w:tcPr>
                <w:p w14:paraId="18A5DFA3" w14:textId="77777777" w:rsidR="00102CFD" w:rsidRPr="000A7465" w:rsidRDefault="00102CFD" w:rsidP="005C3BAE">
                  <w:pPr>
                    <w:rPr>
                      <w:rFonts w:ascii="Times New Roman" w:hAnsi="Times New Roman" w:cs="Times New Roman"/>
                      <w:b/>
                      <w:sz w:val="18"/>
                      <w:szCs w:val="18"/>
                    </w:rPr>
                  </w:pPr>
                  <w:r w:rsidRPr="000A7465">
                    <w:rPr>
                      <w:rFonts w:ascii="Times New Roman" w:hAnsi="Times New Roman" w:cs="Times New Roman"/>
                      <w:b/>
                      <w:sz w:val="18"/>
                      <w:szCs w:val="18"/>
                    </w:rPr>
                    <w:t>p value</w:t>
                  </w:r>
                </w:p>
              </w:tc>
            </w:tr>
            <w:tr w:rsidR="00102CFD" w:rsidRPr="000A7465" w14:paraId="3643B255" w14:textId="77777777" w:rsidTr="005C3BAE">
              <w:tc>
                <w:tcPr>
                  <w:tcW w:w="1416" w:type="dxa"/>
                </w:tcPr>
                <w:p w14:paraId="2EAFC788" w14:textId="77777777" w:rsidR="00102CFD" w:rsidRPr="000A7465" w:rsidRDefault="00102CFD" w:rsidP="005C3BAE">
                  <w:pPr>
                    <w:rPr>
                      <w:rFonts w:ascii="Times New Roman" w:hAnsi="Times New Roman" w:cs="Times New Roman"/>
                      <w:sz w:val="18"/>
                      <w:szCs w:val="18"/>
                    </w:rPr>
                  </w:pPr>
                  <w:r w:rsidRPr="000A7465">
                    <w:rPr>
                      <w:rFonts w:ascii="Times New Roman" w:hAnsi="Times New Roman" w:cs="Times New Roman"/>
                      <w:sz w:val="18"/>
                      <w:szCs w:val="18"/>
                    </w:rPr>
                    <w:t>overall injury</w:t>
                  </w:r>
                </w:p>
              </w:tc>
              <w:tc>
                <w:tcPr>
                  <w:tcW w:w="810" w:type="dxa"/>
                </w:tcPr>
                <w:p w14:paraId="28866880" w14:textId="0076450A" w:rsidR="00102CFD" w:rsidRPr="000A7465" w:rsidRDefault="00102CFD" w:rsidP="00102CFD">
                  <w:pPr>
                    <w:rPr>
                      <w:rFonts w:ascii="Times New Roman" w:hAnsi="Times New Roman" w:cs="Times New Roman"/>
                      <w:sz w:val="18"/>
                      <w:szCs w:val="18"/>
                    </w:rPr>
                  </w:pPr>
                  <w:r w:rsidRPr="000A7465">
                    <w:rPr>
                      <w:rFonts w:ascii="Times New Roman" w:hAnsi="Times New Roman" w:cs="Times New Roman"/>
                      <w:sz w:val="18"/>
                      <w:szCs w:val="18"/>
                    </w:rPr>
                    <w:t>0.654</w:t>
                  </w:r>
                </w:p>
              </w:tc>
              <w:tc>
                <w:tcPr>
                  <w:tcW w:w="990" w:type="dxa"/>
                </w:tcPr>
                <w:p w14:paraId="4763C3E7" w14:textId="76741C5A" w:rsidR="00102CFD" w:rsidRPr="000A7465" w:rsidRDefault="00102CFD" w:rsidP="005C3BAE">
                  <w:pPr>
                    <w:rPr>
                      <w:rFonts w:ascii="Times New Roman" w:hAnsi="Times New Roman" w:cs="Times New Roman"/>
                      <w:sz w:val="18"/>
                      <w:szCs w:val="18"/>
                    </w:rPr>
                  </w:pPr>
                  <w:r w:rsidRPr="000A7465">
                    <w:rPr>
                      <w:rFonts w:ascii="Times New Roman" w:hAnsi="Times New Roman" w:cs="Times New Roman"/>
                      <w:sz w:val="18"/>
                      <w:szCs w:val="18"/>
                    </w:rPr>
                    <w:t>0.54-0.80</w:t>
                  </w:r>
                </w:p>
              </w:tc>
              <w:tc>
                <w:tcPr>
                  <w:tcW w:w="900" w:type="dxa"/>
                </w:tcPr>
                <w:p w14:paraId="595F40BF" w14:textId="3A045632" w:rsidR="00102CFD" w:rsidRPr="000A7465" w:rsidRDefault="00102CFD" w:rsidP="005C3BAE">
                  <w:pPr>
                    <w:rPr>
                      <w:rFonts w:ascii="Times New Roman" w:hAnsi="Times New Roman" w:cs="Times New Roman"/>
                      <w:sz w:val="18"/>
                      <w:szCs w:val="18"/>
                    </w:rPr>
                  </w:pPr>
                  <w:r w:rsidRPr="000A7465">
                    <w:rPr>
                      <w:rFonts w:ascii="Times New Roman" w:hAnsi="Times New Roman" w:cs="Times New Roman"/>
                      <w:sz w:val="18"/>
                      <w:szCs w:val="18"/>
                    </w:rPr>
                    <w:t>&lt;0.001*</w:t>
                  </w:r>
                </w:p>
              </w:tc>
            </w:tr>
            <w:tr w:rsidR="00102CFD" w:rsidRPr="000A7465" w14:paraId="70C0FC4E" w14:textId="77777777" w:rsidTr="005C3BAE">
              <w:tc>
                <w:tcPr>
                  <w:tcW w:w="1416" w:type="dxa"/>
                </w:tcPr>
                <w:p w14:paraId="5E1D43A3" w14:textId="77777777" w:rsidR="00102CFD" w:rsidRPr="000A7465" w:rsidRDefault="00102CFD" w:rsidP="005C3BAE">
                  <w:pPr>
                    <w:rPr>
                      <w:rFonts w:ascii="Times New Roman" w:hAnsi="Times New Roman" w:cs="Times New Roman"/>
                      <w:sz w:val="18"/>
                      <w:szCs w:val="18"/>
                    </w:rPr>
                  </w:pPr>
                  <w:r w:rsidRPr="000A7465">
                    <w:rPr>
                      <w:rFonts w:ascii="Times New Roman" w:hAnsi="Times New Roman" w:cs="Times New Roman"/>
                      <w:sz w:val="18"/>
                      <w:szCs w:val="18"/>
                    </w:rPr>
                    <w:t>LE injury</w:t>
                  </w:r>
                </w:p>
              </w:tc>
              <w:tc>
                <w:tcPr>
                  <w:tcW w:w="810" w:type="dxa"/>
                </w:tcPr>
                <w:p w14:paraId="23B8BF79" w14:textId="2B5C5EBC" w:rsidR="00102CFD" w:rsidRPr="000A7465" w:rsidRDefault="00102CFD" w:rsidP="005C3BAE">
                  <w:pPr>
                    <w:rPr>
                      <w:rFonts w:ascii="Times New Roman" w:hAnsi="Times New Roman" w:cs="Times New Roman"/>
                      <w:sz w:val="18"/>
                      <w:szCs w:val="18"/>
                    </w:rPr>
                  </w:pPr>
                  <w:r w:rsidRPr="000A7465">
                    <w:rPr>
                      <w:rFonts w:ascii="Times New Roman" w:hAnsi="Times New Roman" w:cs="Times New Roman"/>
                      <w:sz w:val="18"/>
                      <w:szCs w:val="18"/>
                    </w:rPr>
                    <w:t>0.613</w:t>
                  </w:r>
                </w:p>
              </w:tc>
              <w:tc>
                <w:tcPr>
                  <w:tcW w:w="990" w:type="dxa"/>
                </w:tcPr>
                <w:p w14:paraId="01965715" w14:textId="19FD267D" w:rsidR="00102CFD" w:rsidRPr="000A7465" w:rsidRDefault="00102CFD" w:rsidP="005C3BAE">
                  <w:pPr>
                    <w:rPr>
                      <w:rFonts w:ascii="Times New Roman" w:hAnsi="Times New Roman" w:cs="Times New Roman"/>
                      <w:sz w:val="18"/>
                      <w:szCs w:val="18"/>
                    </w:rPr>
                  </w:pPr>
                  <w:r w:rsidRPr="000A7465">
                    <w:rPr>
                      <w:rFonts w:ascii="Times New Roman" w:hAnsi="Times New Roman" w:cs="Times New Roman"/>
                      <w:sz w:val="18"/>
                      <w:szCs w:val="18"/>
                    </w:rPr>
                    <w:t>0.48-0.79</w:t>
                  </w:r>
                </w:p>
              </w:tc>
              <w:tc>
                <w:tcPr>
                  <w:tcW w:w="900" w:type="dxa"/>
                </w:tcPr>
                <w:p w14:paraId="7F977719" w14:textId="536B9507" w:rsidR="00102CFD" w:rsidRPr="000A7465" w:rsidRDefault="00102CFD" w:rsidP="005C3BAE">
                  <w:pPr>
                    <w:rPr>
                      <w:rFonts w:ascii="Times New Roman" w:hAnsi="Times New Roman" w:cs="Times New Roman"/>
                      <w:sz w:val="18"/>
                      <w:szCs w:val="18"/>
                    </w:rPr>
                  </w:pPr>
                  <w:r w:rsidRPr="000A7465">
                    <w:rPr>
                      <w:rFonts w:ascii="Times New Roman" w:hAnsi="Times New Roman" w:cs="Times New Roman"/>
                      <w:sz w:val="18"/>
                      <w:szCs w:val="18"/>
                    </w:rPr>
                    <w:t>&lt;0.001*</w:t>
                  </w:r>
                </w:p>
              </w:tc>
            </w:tr>
          </w:tbl>
          <w:p w14:paraId="1ABC18BA" w14:textId="77777777" w:rsidR="00056DEA" w:rsidRPr="000A7465" w:rsidRDefault="00056DEA">
            <w:pPr>
              <w:rPr>
                <w:rFonts w:ascii="Times New Roman" w:hAnsi="Times New Roman" w:cs="Times New Roman"/>
                <w:sz w:val="18"/>
                <w:szCs w:val="18"/>
              </w:rPr>
            </w:pPr>
          </w:p>
          <w:p w14:paraId="5606D883" w14:textId="07964F89" w:rsidR="00056DEA" w:rsidRPr="000A7465" w:rsidRDefault="00056DEA">
            <w:pPr>
              <w:rPr>
                <w:rFonts w:ascii="Times New Roman" w:hAnsi="Times New Roman" w:cs="Times New Roman"/>
                <w:sz w:val="18"/>
                <w:szCs w:val="18"/>
              </w:rPr>
            </w:pPr>
            <w:r w:rsidRPr="000A7465">
              <w:rPr>
                <w:rFonts w:ascii="Times New Roman" w:hAnsi="Times New Roman" w:cs="Times New Roman"/>
                <w:sz w:val="18"/>
                <w:szCs w:val="18"/>
              </w:rPr>
              <w:t xml:space="preserve">Observed higher injury prevention with increased compliance but unable to conduct statistical analysis secondary to limited data on compliance. </w:t>
            </w:r>
          </w:p>
        </w:tc>
        <w:tc>
          <w:tcPr>
            <w:tcW w:w="3495" w:type="dxa"/>
          </w:tcPr>
          <w:p w14:paraId="3AE340B0" w14:textId="7F28A1DC" w:rsidR="007E1AD2" w:rsidRPr="000A7465" w:rsidRDefault="007E1AD2">
            <w:pPr>
              <w:rPr>
                <w:rFonts w:ascii="Times New Roman" w:hAnsi="Times New Roman" w:cs="Times New Roman"/>
                <w:sz w:val="18"/>
                <w:szCs w:val="18"/>
              </w:rPr>
            </w:pPr>
            <w:r w:rsidRPr="000A7465">
              <w:rPr>
                <w:rFonts w:ascii="Times New Roman" w:hAnsi="Times New Roman" w:cs="Times New Roman"/>
                <w:b/>
                <w:sz w:val="18"/>
                <w:szCs w:val="18"/>
              </w:rPr>
              <w:t xml:space="preserve">Author’s Conclusions: </w:t>
            </w:r>
            <w:r w:rsidRPr="000A7465">
              <w:rPr>
                <w:rFonts w:ascii="Times New Roman" w:hAnsi="Times New Roman" w:cs="Times New Roman"/>
                <w:sz w:val="18"/>
                <w:szCs w:val="18"/>
              </w:rPr>
              <w:t xml:space="preserve">Participation in the </w:t>
            </w:r>
            <w:r w:rsidR="003D7BEA" w:rsidRPr="000A7465">
              <w:rPr>
                <w:rFonts w:ascii="Times New Roman" w:hAnsi="Times New Roman" w:cs="Times New Roman"/>
                <w:sz w:val="18"/>
                <w:szCs w:val="18"/>
              </w:rPr>
              <w:t>“</w:t>
            </w:r>
            <w:r w:rsidRPr="000A7465">
              <w:rPr>
                <w:rFonts w:ascii="Times New Roman" w:hAnsi="Times New Roman" w:cs="Times New Roman"/>
                <w:sz w:val="18"/>
                <w:szCs w:val="18"/>
              </w:rPr>
              <w:t>11+</w:t>
            </w:r>
            <w:r w:rsidR="003D7BEA" w:rsidRPr="000A7465">
              <w:rPr>
                <w:rFonts w:ascii="Times New Roman" w:hAnsi="Times New Roman" w:cs="Times New Roman"/>
                <w:sz w:val="18"/>
                <w:szCs w:val="18"/>
              </w:rPr>
              <w:t>”</w:t>
            </w:r>
            <w:r w:rsidRPr="000A7465">
              <w:rPr>
                <w:rFonts w:ascii="Times New Roman" w:hAnsi="Times New Roman" w:cs="Times New Roman"/>
                <w:sz w:val="18"/>
                <w:szCs w:val="18"/>
              </w:rPr>
              <w:t xml:space="preserve"> can reduce injury rates by 20-50% versus soccer players who do not participate in an IP. </w:t>
            </w:r>
          </w:p>
          <w:p w14:paraId="3B3585FE" w14:textId="77777777" w:rsidR="007E1AD2" w:rsidRPr="000A7465" w:rsidRDefault="007E1AD2">
            <w:pPr>
              <w:rPr>
                <w:rFonts w:ascii="Times New Roman" w:hAnsi="Times New Roman" w:cs="Times New Roman"/>
                <w:sz w:val="18"/>
                <w:szCs w:val="18"/>
              </w:rPr>
            </w:pPr>
          </w:p>
          <w:p w14:paraId="487A4EFF" w14:textId="4FFD9EAA" w:rsidR="00AC2FF0" w:rsidRPr="000A7465" w:rsidRDefault="00056DEA">
            <w:pPr>
              <w:rPr>
                <w:rFonts w:ascii="Times New Roman" w:hAnsi="Times New Roman" w:cs="Times New Roman"/>
                <w:b/>
                <w:sz w:val="18"/>
                <w:szCs w:val="18"/>
              </w:rPr>
            </w:pPr>
            <w:r w:rsidRPr="000A7465">
              <w:rPr>
                <w:rFonts w:ascii="Times New Roman" w:hAnsi="Times New Roman" w:cs="Times New Roman"/>
                <w:b/>
                <w:sz w:val="18"/>
                <w:szCs w:val="18"/>
              </w:rPr>
              <w:t xml:space="preserve">Limitations: </w:t>
            </w:r>
          </w:p>
          <w:p w14:paraId="5FB264BC" w14:textId="2CBE5D8C" w:rsidR="00056DEA" w:rsidRPr="000A7465" w:rsidRDefault="00056DEA" w:rsidP="00056DEA">
            <w:pPr>
              <w:pStyle w:val="ListParagraph"/>
              <w:numPr>
                <w:ilvl w:val="0"/>
                <w:numId w:val="10"/>
              </w:numPr>
              <w:rPr>
                <w:rFonts w:ascii="Times New Roman" w:hAnsi="Times New Roman" w:cs="Times New Roman"/>
                <w:sz w:val="18"/>
                <w:szCs w:val="18"/>
              </w:rPr>
            </w:pPr>
            <w:r w:rsidRPr="000A7465">
              <w:rPr>
                <w:rFonts w:ascii="Times New Roman" w:hAnsi="Times New Roman" w:cs="Times New Roman"/>
                <w:sz w:val="18"/>
                <w:szCs w:val="18"/>
              </w:rPr>
              <w:t xml:space="preserve">Females were under-represented in the data and studies may be been underpowered to detect a statistically significant change. </w:t>
            </w:r>
          </w:p>
          <w:p w14:paraId="1468CD72" w14:textId="6FB4F615" w:rsidR="00056DEA" w:rsidRPr="000A7465" w:rsidRDefault="00056DEA" w:rsidP="00056DEA">
            <w:pPr>
              <w:pStyle w:val="ListParagraph"/>
              <w:numPr>
                <w:ilvl w:val="0"/>
                <w:numId w:val="10"/>
              </w:numPr>
              <w:rPr>
                <w:rFonts w:ascii="Times New Roman" w:hAnsi="Times New Roman" w:cs="Times New Roman"/>
                <w:sz w:val="18"/>
                <w:szCs w:val="18"/>
              </w:rPr>
            </w:pPr>
            <w:r w:rsidRPr="000A7465">
              <w:rPr>
                <w:rFonts w:ascii="Times New Roman" w:hAnsi="Times New Roman" w:cs="Times New Roman"/>
                <w:sz w:val="18"/>
                <w:szCs w:val="18"/>
              </w:rPr>
              <w:t xml:space="preserve">Variable compliance with the injury prevention program </w:t>
            </w:r>
          </w:p>
          <w:p w14:paraId="5E871656" w14:textId="624B9AB8" w:rsidR="007E1AD2" w:rsidRPr="000A7465" w:rsidRDefault="007E1AD2" w:rsidP="007E1AD2">
            <w:pPr>
              <w:pStyle w:val="ListParagraph"/>
              <w:numPr>
                <w:ilvl w:val="0"/>
                <w:numId w:val="10"/>
              </w:numPr>
              <w:rPr>
                <w:rFonts w:ascii="Times New Roman" w:hAnsi="Times New Roman" w:cs="Times New Roman"/>
                <w:sz w:val="18"/>
                <w:szCs w:val="18"/>
              </w:rPr>
            </w:pPr>
            <w:r w:rsidRPr="000A7465">
              <w:rPr>
                <w:rFonts w:ascii="Times New Roman" w:hAnsi="Times New Roman" w:cs="Times New Roman"/>
                <w:sz w:val="18"/>
                <w:szCs w:val="18"/>
              </w:rPr>
              <w:t>Lack of blinding of subjects within the studies, variability among study protocol in administering IPP and educating players and coaches on the interventions</w:t>
            </w:r>
          </w:p>
          <w:p w14:paraId="0D6B1286" w14:textId="30D51984" w:rsidR="00056DEA" w:rsidRPr="000A7465" w:rsidRDefault="007E1AD2" w:rsidP="00075B94">
            <w:pPr>
              <w:pStyle w:val="ListParagraph"/>
              <w:numPr>
                <w:ilvl w:val="0"/>
                <w:numId w:val="10"/>
              </w:numPr>
              <w:rPr>
                <w:rFonts w:ascii="Times New Roman" w:hAnsi="Times New Roman" w:cs="Times New Roman"/>
                <w:sz w:val="18"/>
                <w:szCs w:val="18"/>
              </w:rPr>
            </w:pPr>
            <w:r w:rsidRPr="000A7465">
              <w:rPr>
                <w:rFonts w:ascii="Times New Roman" w:hAnsi="Times New Roman" w:cs="Times New Roman"/>
                <w:sz w:val="18"/>
                <w:szCs w:val="18"/>
              </w:rPr>
              <w:t>Included lower quality studies (cohort) and prospective controlled trails</w:t>
            </w:r>
          </w:p>
          <w:p w14:paraId="59CF7A21" w14:textId="77777777" w:rsidR="00056DEA" w:rsidRPr="000A7465" w:rsidRDefault="00056DEA">
            <w:pPr>
              <w:rPr>
                <w:rFonts w:ascii="Times New Roman" w:hAnsi="Times New Roman" w:cs="Times New Roman"/>
                <w:b/>
                <w:sz w:val="18"/>
                <w:szCs w:val="18"/>
              </w:rPr>
            </w:pPr>
            <w:r w:rsidRPr="000A7465">
              <w:rPr>
                <w:rFonts w:ascii="Times New Roman" w:hAnsi="Times New Roman" w:cs="Times New Roman"/>
                <w:b/>
                <w:sz w:val="18"/>
                <w:szCs w:val="18"/>
              </w:rPr>
              <w:t>Strength:</w:t>
            </w:r>
          </w:p>
          <w:p w14:paraId="6E1AC79D" w14:textId="77777777" w:rsidR="00056DEA" w:rsidRPr="000A7465" w:rsidRDefault="00056DEA" w:rsidP="00056DEA">
            <w:pPr>
              <w:pStyle w:val="ListParagraph"/>
              <w:numPr>
                <w:ilvl w:val="0"/>
                <w:numId w:val="10"/>
              </w:numPr>
              <w:rPr>
                <w:rFonts w:ascii="Times New Roman" w:hAnsi="Times New Roman" w:cs="Times New Roman"/>
                <w:sz w:val="18"/>
                <w:szCs w:val="18"/>
              </w:rPr>
            </w:pPr>
            <w:r w:rsidRPr="000A7465">
              <w:rPr>
                <w:rFonts w:ascii="Times New Roman" w:hAnsi="Times New Roman" w:cs="Times New Roman"/>
                <w:sz w:val="18"/>
                <w:szCs w:val="18"/>
              </w:rPr>
              <w:t>Evaluates injury rates in terms of exposure hours</w:t>
            </w:r>
          </w:p>
          <w:p w14:paraId="5FACEE55" w14:textId="18099E8C" w:rsidR="00A144C8" w:rsidRPr="000A7465" w:rsidRDefault="007E1AD2" w:rsidP="00FD1E6D">
            <w:pPr>
              <w:pStyle w:val="ListParagraph"/>
              <w:numPr>
                <w:ilvl w:val="0"/>
                <w:numId w:val="10"/>
              </w:numPr>
              <w:rPr>
                <w:rFonts w:ascii="Times New Roman" w:hAnsi="Times New Roman" w:cs="Times New Roman"/>
                <w:sz w:val="18"/>
                <w:szCs w:val="18"/>
              </w:rPr>
            </w:pPr>
            <w:r w:rsidRPr="000A7465">
              <w:rPr>
                <w:rFonts w:ascii="Times New Roman" w:hAnsi="Times New Roman" w:cs="Times New Roman"/>
                <w:sz w:val="18"/>
                <w:szCs w:val="18"/>
              </w:rPr>
              <w:t>Meta-analysis performe</w:t>
            </w:r>
            <w:r w:rsidR="00A144C8" w:rsidRPr="000A7465">
              <w:rPr>
                <w:rFonts w:ascii="Times New Roman" w:hAnsi="Times New Roman" w:cs="Times New Roman"/>
                <w:sz w:val="18"/>
                <w:szCs w:val="18"/>
              </w:rPr>
              <w:t>d</w:t>
            </w:r>
          </w:p>
        </w:tc>
      </w:tr>
      <w:tr w:rsidR="00FD3429" w:rsidRPr="000A7465" w14:paraId="4468134E" w14:textId="77777777" w:rsidTr="00C609F5">
        <w:trPr>
          <w:gridBefore w:val="1"/>
          <w:gridAfter w:val="1"/>
          <w:wBefore w:w="365" w:type="dxa"/>
          <w:wAfter w:w="270" w:type="dxa"/>
          <w:trHeight w:val="4751"/>
        </w:trPr>
        <w:tc>
          <w:tcPr>
            <w:tcW w:w="1936" w:type="dxa"/>
          </w:tcPr>
          <w:p w14:paraId="3E209EF6" w14:textId="5DAD32C7" w:rsidR="00AC2FF0" w:rsidRPr="000A7465" w:rsidRDefault="00AC2FF0" w:rsidP="008B118C">
            <w:pPr>
              <w:rPr>
                <w:rFonts w:ascii="Times New Roman" w:hAnsi="Times New Roman" w:cs="Times New Roman"/>
                <w:sz w:val="18"/>
                <w:szCs w:val="18"/>
              </w:rPr>
            </w:pPr>
            <w:r w:rsidRPr="000A7465">
              <w:rPr>
                <w:rFonts w:ascii="Times New Roman" w:hAnsi="Times New Roman" w:cs="Times New Roman"/>
                <w:b/>
                <w:sz w:val="18"/>
                <w:szCs w:val="18"/>
              </w:rPr>
              <w:lastRenderedPageBreak/>
              <w:t>Author/Year</w:t>
            </w:r>
            <w:r w:rsidRPr="000A7465">
              <w:rPr>
                <w:rFonts w:ascii="Times New Roman" w:hAnsi="Times New Roman" w:cs="Times New Roman"/>
                <w:sz w:val="18"/>
                <w:szCs w:val="18"/>
              </w:rPr>
              <w:t xml:space="preserve">: </w:t>
            </w:r>
            <w:proofErr w:type="spellStart"/>
            <w:r w:rsidRPr="000A7465">
              <w:rPr>
                <w:rFonts w:ascii="Times New Roman" w:hAnsi="Times New Roman" w:cs="Times New Roman"/>
                <w:sz w:val="18"/>
                <w:szCs w:val="18"/>
              </w:rPr>
              <w:t>Thorborg</w:t>
            </w:r>
            <w:proofErr w:type="spellEnd"/>
            <w:r w:rsidRPr="000A7465">
              <w:rPr>
                <w:rFonts w:ascii="Times New Roman" w:hAnsi="Times New Roman" w:cs="Times New Roman"/>
                <w:sz w:val="18"/>
                <w:szCs w:val="18"/>
              </w:rPr>
              <w:t xml:space="preserve"> (2017)</w:t>
            </w:r>
            <w:r w:rsidR="00C13D05" w:rsidRPr="000A7465">
              <w:rPr>
                <w:rFonts w:ascii="Times New Roman" w:hAnsi="Times New Roman" w:cs="Times New Roman"/>
                <w:sz w:val="18"/>
                <w:szCs w:val="18"/>
              </w:rPr>
              <w:fldChar w:fldCharType="begin"/>
            </w:r>
            <w:r w:rsidR="009D18FB" w:rsidRPr="000A7465">
              <w:rPr>
                <w:rFonts w:ascii="Times New Roman" w:hAnsi="Times New Roman" w:cs="Times New Roman"/>
                <w:sz w:val="18"/>
                <w:szCs w:val="18"/>
              </w:rPr>
              <w:instrText>ADDIN F1000_CSL_CITATION&lt;~#@#~&gt;[{"DOI":"10.1136/bjsports-2016-097066","First":false,"Last":false,"PMID":"28087568","abstract":"&lt;strong&gt;OBJECTIVE:&lt;/strong&gt; To investigate the effect of FIFA injury prevention programmes in football (FIFA 11 and FIFA 11+).&lt;br&gt;&lt;br&gt;&lt;strong&gt;DESIGN:&lt;/strong&gt; Systematic review and meta-analysis.&lt;br&gt;&lt;br&gt;&lt;strong&gt;ELIGIBILITY CRITERIA FOR SELECTING STUDIES:&lt;/strong&gt; Randomised controlled trials comparing the FIFA injury prevention programmes with a control (no or sham intervention) among football players.&lt;br&gt;&lt;br&gt;&lt;strong&gt;DATA SOURCES:&lt;/strong&gt; MEDLINE via PubMed, EMBASE via OVID, CINAHL via Ebsco, Web of Science, SportDiscus and Cochrane Central Register of Controlled Trials, from 2004 to 14 March 2016.&lt;br&gt;&lt;br&gt;&lt;strong&gt;RESULTS:&lt;/strong&gt; 6 cluster-randomised controlled trials had assessed the effect of FIFA injury prevention programmes compared with controls on the overall football injury incidence in recreational/subelite football. These studies included 2 specific exercise-based injury prevention programmes: FIFA 11 (2 studies) and FIFA 11+ (4 studies). The primary analysis showed a reduction in the overall injury risk ratio of 0.75 (95% CI 0.57 to 0.98), p=0.04, in favour of the FIFA injury prevention programmes. Secondary analyses revealed that when pooling the 4 studies applying the FIFA 11+ prevention programme, a reduction in the overall injury risk ratio (incidence rate ratio (IRR) 0.61; 95% CI 0.48 to 0.77, p&lt; 0.001) was present in favour of the FIFA 11+ prevention programme. No reduction was present when pooling the 2 studies including the FIFA 11 prevention programme (IRR 0.99; 95% CI 0.80 to 1.23, p=0.940).&lt;br&gt;&lt;br&gt;&lt;strong&gt;CONCLUSIONS:&lt;/strong&gt; An injury-preventing effect of the FIFA injury prevention programmes compared with controls was shown in football. This effect was induced by the FIFA 11+ prevention programme which has a substantial injury-preventing effect by reducing football injuries by 39%, whereas a preventive effect of the FIFA 11 prevention programme could not be documented.&lt;br&gt;&lt;br&gt;&lt;strong&gt;TRIAL REGISTRATION NUMBER:&lt;/strong&gt; PROSPERO CRD42015024120.&lt;br&gt;&lt;br&gt;Published by the BMJ Publishing Group Limited. For permission to use (where not already granted under a licence) please go to http://www.bmj.com/company/products-services/rights-and-licensing/.","author":[{"family":"Thorborg","given":"Kristian"},{"family":"Krommes","given":"Kasper Kühn"},{"family":"Esteve","given":"Ernest"},{"family":"Clausen","given":"Mikkel Bek"},{"family":"Bartels","given":"Else Marie"},{"family":"Rathleff","given":"Michael Skovdal"}],"citation-label":"5824173","container-title":"British Journal of Sports Medicine","container-title-short":"Br. J. Sports Med.","id":"5824173","invisible":false,"issue":"7","issued":{"date-parts":[["2017","4"]]},"journalAbbreviation":"Br. J. Sports Med.","page":"562-571","suppress-author":false,"title":"Effect of specific exercise-based football injury prevention programmes on the overall injury rate in football: a systematic review and meta-analysis of the FIFA 11 and 11+ programmes.","type":"article-journal","volume":"51"}]</w:instrText>
            </w:r>
            <w:r w:rsidR="00C13D05" w:rsidRPr="000A7465">
              <w:rPr>
                <w:rFonts w:ascii="Times New Roman" w:hAnsi="Times New Roman" w:cs="Times New Roman"/>
                <w:sz w:val="18"/>
                <w:szCs w:val="18"/>
              </w:rPr>
              <w:fldChar w:fldCharType="separate"/>
            </w:r>
            <w:r w:rsidR="00502F90" w:rsidRPr="000A7465">
              <w:rPr>
                <w:rFonts w:ascii="Times New Roman" w:hAnsi="Times New Roman" w:cs="Times New Roman"/>
                <w:sz w:val="18"/>
                <w:szCs w:val="18"/>
                <w:vertAlign w:val="superscript"/>
              </w:rPr>
              <w:t>3</w:t>
            </w:r>
            <w:r w:rsidR="00C13D05" w:rsidRPr="000A7465">
              <w:rPr>
                <w:rFonts w:ascii="Times New Roman" w:hAnsi="Times New Roman" w:cs="Times New Roman"/>
                <w:sz w:val="18"/>
                <w:szCs w:val="18"/>
              </w:rPr>
              <w:fldChar w:fldCharType="end"/>
            </w:r>
          </w:p>
          <w:p w14:paraId="047F186A" w14:textId="77777777" w:rsidR="00AC2FF0" w:rsidRPr="000A7465" w:rsidRDefault="00AC2FF0" w:rsidP="008B118C">
            <w:pPr>
              <w:rPr>
                <w:rFonts w:ascii="Times New Roman" w:hAnsi="Times New Roman" w:cs="Times New Roman"/>
                <w:sz w:val="18"/>
                <w:szCs w:val="18"/>
              </w:rPr>
            </w:pPr>
          </w:p>
          <w:p w14:paraId="1AD85435" w14:textId="77777777" w:rsidR="00AC2FF0" w:rsidRPr="000A7465" w:rsidRDefault="00AC2FF0" w:rsidP="008B118C">
            <w:pPr>
              <w:rPr>
                <w:rFonts w:ascii="Times New Roman" w:hAnsi="Times New Roman" w:cs="Times New Roman"/>
                <w:sz w:val="18"/>
                <w:szCs w:val="18"/>
              </w:rPr>
            </w:pPr>
            <w:r w:rsidRPr="000A7465">
              <w:rPr>
                <w:rFonts w:ascii="Times New Roman" w:hAnsi="Times New Roman" w:cs="Times New Roman"/>
                <w:b/>
                <w:sz w:val="18"/>
                <w:szCs w:val="18"/>
              </w:rPr>
              <w:t>Study Design</w:t>
            </w:r>
            <w:r w:rsidRPr="000A7465">
              <w:rPr>
                <w:rFonts w:ascii="Times New Roman" w:hAnsi="Times New Roman" w:cs="Times New Roman"/>
                <w:sz w:val="18"/>
                <w:szCs w:val="18"/>
              </w:rPr>
              <w:t xml:space="preserve">: systematic review + meta-analysis </w:t>
            </w:r>
          </w:p>
          <w:p w14:paraId="7823237B" w14:textId="77777777" w:rsidR="00AC2FF0" w:rsidRPr="000A7465" w:rsidRDefault="00AC2FF0" w:rsidP="008B118C">
            <w:pPr>
              <w:rPr>
                <w:rFonts w:ascii="Times New Roman" w:hAnsi="Times New Roman" w:cs="Times New Roman"/>
                <w:sz w:val="18"/>
                <w:szCs w:val="18"/>
              </w:rPr>
            </w:pPr>
          </w:p>
          <w:p w14:paraId="771528A8" w14:textId="77777777" w:rsidR="00AC2FF0" w:rsidRPr="000A7465" w:rsidRDefault="00AC2FF0" w:rsidP="008B118C">
            <w:pPr>
              <w:rPr>
                <w:rFonts w:ascii="Times New Roman" w:hAnsi="Times New Roman" w:cs="Times New Roman"/>
                <w:sz w:val="18"/>
                <w:szCs w:val="18"/>
              </w:rPr>
            </w:pPr>
            <w:r w:rsidRPr="000A7465">
              <w:rPr>
                <w:rFonts w:ascii="Times New Roman" w:hAnsi="Times New Roman" w:cs="Times New Roman"/>
                <w:b/>
                <w:sz w:val="18"/>
                <w:szCs w:val="18"/>
              </w:rPr>
              <w:t>Level of evidence</w:t>
            </w:r>
            <w:r w:rsidRPr="000A7465">
              <w:rPr>
                <w:rFonts w:ascii="Times New Roman" w:hAnsi="Times New Roman" w:cs="Times New Roman"/>
                <w:sz w:val="18"/>
                <w:szCs w:val="18"/>
              </w:rPr>
              <w:t>: 1a</w:t>
            </w:r>
          </w:p>
          <w:p w14:paraId="01C5A25B" w14:textId="77777777" w:rsidR="00AC2FF0" w:rsidRPr="000A7465" w:rsidRDefault="00AC2FF0" w:rsidP="008B118C">
            <w:pPr>
              <w:rPr>
                <w:rFonts w:ascii="Times New Roman" w:hAnsi="Times New Roman" w:cs="Times New Roman"/>
                <w:sz w:val="18"/>
                <w:szCs w:val="18"/>
              </w:rPr>
            </w:pPr>
          </w:p>
          <w:p w14:paraId="7D497E6A" w14:textId="77777777" w:rsidR="00AC2FF0" w:rsidRPr="000A7465" w:rsidRDefault="00AC2FF0" w:rsidP="00EC58B5">
            <w:pPr>
              <w:rPr>
                <w:rFonts w:ascii="Times New Roman" w:hAnsi="Times New Roman" w:cs="Times New Roman"/>
                <w:sz w:val="18"/>
                <w:szCs w:val="18"/>
              </w:rPr>
            </w:pPr>
            <w:r w:rsidRPr="000A7465">
              <w:rPr>
                <w:rFonts w:ascii="Times New Roman" w:hAnsi="Times New Roman" w:cs="Times New Roman"/>
                <w:b/>
                <w:sz w:val="18"/>
                <w:szCs w:val="18"/>
              </w:rPr>
              <w:t>Risk of bias</w:t>
            </w:r>
            <w:r w:rsidRPr="000A7465">
              <w:rPr>
                <w:rFonts w:ascii="Times New Roman" w:hAnsi="Times New Roman" w:cs="Times New Roman"/>
                <w:sz w:val="18"/>
                <w:szCs w:val="18"/>
              </w:rPr>
              <w:t>: 9/11 (AMSTAR)</w:t>
            </w:r>
          </w:p>
          <w:p w14:paraId="0783A32B" w14:textId="77777777" w:rsidR="00075B94" w:rsidRPr="000A7465" w:rsidRDefault="00075B94" w:rsidP="00EC58B5">
            <w:pPr>
              <w:rPr>
                <w:rFonts w:ascii="Times New Roman" w:hAnsi="Times New Roman" w:cs="Times New Roman"/>
                <w:sz w:val="18"/>
                <w:szCs w:val="18"/>
              </w:rPr>
            </w:pPr>
          </w:p>
          <w:p w14:paraId="15F23123" w14:textId="58B620B8" w:rsidR="00075B94" w:rsidRPr="000A7465" w:rsidRDefault="00075B94" w:rsidP="00075B94">
            <w:pPr>
              <w:rPr>
                <w:rFonts w:ascii="Times New Roman" w:hAnsi="Times New Roman" w:cs="Times New Roman"/>
                <w:sz w:val="18"/>
                <w:szCs w:val="18"/>
              </w:rPr>
            </w:pPr>
            <w:r w:rsidRPr="000A7465">
              <w:rPr>
                <w:rFonts w:ascii="Times New Roman" w:hAnsi="Times New Roman" w:cs="Times New Roman"/>
                <w:b/>
                <w:sz w:val="18"/>
                <w:szCs w:val="18"/>
              </w:rPr>
              <w:t>Aim:</w:t>
            </w:r>
            <w:r w:rsidRPr="000A7465">
              <w:rPr>
                <w:rFonts w:ascii="Times New Roman" w:hAnsi="Times New Roman" w:cs="Times New Roman"/>
                <w:sz w:val="18"/>
                <w:szCs w:val="18"/>
              </w:rPr>
              <w:t xml:space="preserve"> </w:t>
            </w:r>
            <w:r w:rsidRPr="000A7465">
              <w:rPr>
                <w:rFonts w:ascii="Times New Roman" w:hAnsi="Times New Roman" w:cs="Times New Roman"/>
                <w:sz w:val="18"/>
                <w:szCs w:val="18"/>
                <w:lang w:val="en-AU"/>
              </w:rPr>
              <w:t>to “investigate the effect of FIFA injury prevent programmes in football (FIFA 11 and FIFA 11+)”</w:t>
            </w:r>
          </w:p>
        </w:tc>
        <w:tc>
          <w:tcPr>
            <w:tcW w:w="4380" w:type="dxa"/>
          </w:tcPr>
          <w:p w14:paraId="1DD382FB" w14:textId="77777777" w:rsidR="00075B94" w:rsidRPr="000A7465" w:rsidRDefault="00075B94" w:rsidP="00075B94">
            <w:pPr>
              <w:rPr>
                <w:rFonts w:ascii="Times New Roman" w:hAnsi="Times New Roman" w:cs="Times New Roman"/>
                <w:sz w:val="18"/>
                <w:szCs w:val="18"/>
              </w:rPr>
            </w:pPr>
            <w:r w:rsidRPr="000A7465">
              <w:rPr>
                <w:rFonts w:ascii="Times New Roman" w:hAnsi="Times New Roman" w:cs="Times New Roman"/>
                <w:b/>
                <w:sz w:val="18"/>
                <w:szCs w:val="18"/>
              </w:rPr>
              <w:t>Included Studies Criteria</w:t>
            </w:r>
          </w:p>
          <w:p w14:paraId="39FC2F4B" w14:textId="50781575" w:rsidR="00F81F6A" w:rsidRPr="000A7465" w:rsidRDefault="00F81F6A" w:rsidP="00013DE8">
            <w:pPr>
              <w:pStyle w:val="ListParagraph"/>
              <w:numPr>
                <w:ilvl w:val="0"/>
                <w:numId w:val="2"/>
              </w:numPr>
              <w:rPr>
                <w:rFonts w:ascii="Times New Roman" w:hAnsi="Times New Roman" w:cs="Times New Roman"/>
                <w:sz w:val="18"/>
                <w:szCs w:val="18"/>
              </w:rPr>
            </w:pPr>
            <w:r w:rsidRPr="000A7465">
              <w:rPr>
                <w:rFonts w:ascii="Times New Roman" w:hAnsi="Times New Roman" w:cs="Times New Roman"/>
                <w:sz w:val="18"/>
                <w:szCs w:val="18"/>
              </w:rPr>
              <w:t>Randomized or cluster-randomized controlled trials of s</w:t>
            </w:r>
            <w:r w:rsidR="005D1D29" w:rsidRPr="000A7465">
              <w:rPr>
                <w:rFonts w:ascii="Times New Roman" w:hAnsi="Times New Roman" w:cs="Times New Roman"/>
                <w:sz w:val="18"/>
                <w:szCs w:val="18"/>
              </w:rPr>
              <w:t>occer players which compared</w:t>
            </w:r>
            <w:r w:rsidRPr="000A7465">
              <w:rPr>
                <w:rFonts w:ascii="Times New Roman" w:hAnsi="Times New Roman" w:cs="Times New Roman"/>
                <w:sz w:val="18"/>
                <w:szCs w:val="18"/>
              </w:rPr>
              <w:t xml:space="preserve"> </w:t>
            </w:r>
            <w:r w:rsidR="000A7465">
              <w:rPr>
                <w:rFonts w:ascii="Times New Roman" w:hAnsi="Times New Roman" w:cs="Times New Roman"/>
                <w:sz w:val="18"/>
                <w:szCs w:val="18"/>
              </w:rPr>
              <w:t>the “</w:t>
            </w:r>
            <w:r w:rsidRPr="000A7465">
              <w:rPr>
                <w:rFonts w:ascii="Times New Roman" w:hAnsi="Times New Roman" w:cs="Times New Roman"/>
                <w:sz w:val="18"/>
                <w:szCs w:val="18"/>
              </w:rPr>
              <w:t>11</w:t>
            </w:r>
            <w:r w:rsidR="005D1D29" w:rsidRPr="000A7465">
              <w:rPr>
                <w:rFonts w:ascii="Times New Roman" w:hAnsi="Times New Roman" w:cs="Times New Roman"/>
                <w:sz w:val="18"/>
                <w:szCs w:val="18"/>
              </w:rPr>
              <w:t>”</w:t>
            </w:r>
            <w:r w:rsidRPr="000A7465">
              <w:rPr>
                <w:rFonts w:ascii="Times New Roman" w:hAnsi="Times New Roman" w:cs="Times New Roman"/>
                <w:sz w:val="18"/>
                <w:szCs w:val="18"/>
              </w:rPr>
              <w:t xml:space="preserve"> or </w:t>
            </w:r>
            <w:r w:rsidR="000A7465">
              <w:rPr>
                <w:rFonts w:ascii="Times New Roman" w:hAnsi="Times New Roman" w:cs="Times New Roman"/>
                <w:sz w:val="18"/>
                <w:szCs w:val="18"/>
              </w:rPr>
              <w:t>the “</w:t>
            </w:r>
            <w:r w:rsidRPr="000A7465">
              <w:rPr>
                <w:rFonts w:ascii="Times New Roman" w:hAnsi="Times New Roman" w:cs="Times New Roman"/>
                <w:sz w:val="18"/>
                <w:szCs w:val="18"/>
              </w:rPr>
              <w:t>11+</w:t>
            </w:r>
            <w:r w:rsidR="005D1D29" w:rsidRPr="000A7465">
              <w:rPr>
                <w:rFonts w:ascii="Times New Roman" w:hAnsi="Times New Roman" w:cs="Times New Roman"/>
                <w:sz w:val="18"/>
                <w:szCs w:val="18"/>
              </w:rPr>
              <w:t>”</w:t>
            </w:r>
            <w:r w:rsidRPr="000A7465">
              <w:rPr>
                <w:rFonts w:ascii="Times New Roman" w:hAnsi="Times New Roman" w:cs="Times New Roman"/>
                <w:sz w:val="18"/>
                <w:szCs w:val="18"/>
              </w:rPr>
              <w:t xml:space="preserve"> to a control</w:t>
            </w:r>
          </w:p>
          <w:p w14:paraId="02E3F53D" w14:textId="77777777" w:rsidR="00075B94" w:rsidRPr="000A7465" w:rsidRDefault="00075B94" w:rsidP="00013DE8">
            <w:pPr>
              <w:pStyle w:val="ListParagraph"/>
              <w:numPr>
                <w:ilvl w:val="0"/>
                <w:numId w:val="2"/>
              </w:numPr>
              <w:rPr>
                <w:rFonts w:ascii="Times New Roman" w:hAnsi="Times New Roman" w:cs="Times New Roman"/>
                <w:sz w:val="18"/>
                <w:szCs w:val="18"/>
              </w:rPr>
            </w:pPr>
            <w:r w:rsidRPr="000A7465">
              <w:rPr>
                <w:rFonts w:ascii="Times New Roman" w:hAnsi="Times New Roman" w:cs="Times New Roman"/>
                <w:sz w:val="18"/>
                <w:szCs w:val="18"/>
              </w:rPr>
              <w:t>Soccer players of any age, skill level or sex</w:t>
            </w:r>
          </w:p>
          <w:p w14:paraId="4D3EDC0B" w14:textId="0397312F" w:rsidR="00F81F6A" w:rsidRPr="000A7465" w:rsidRDefault="00C133F0" w:rsidP="00013DE8">
            <w:pPr>
              <w:pStyle w:val="ListParagraph"/>
              <w:numPr>
                <w:ilvl w:val="0"/>
                <w:numId w:val="2"/>
              </w:numPr>
              <w:rPr>
                <w:rFonts w:ascii="Times New Roman" w:hAnsi="Times New Roman" w:cs="Times New Roman"/>
                <w:sz w:val="18"/>
                <w:szCs w:val="18"/>
              </w:rPr>
            </w:pPr>
            <w:r w:rsidRPr="000A7465">
              <w:rPr>
                <w:rFonts w:ascii="Times New Roman" w:hAnsi="Times New Roman" w:cs="Times New Roman"/>
                <w:sz w:val="18"/>
                <w:szCs w:val="18"/>
              </w:rPr>
              <w:t xml:space="preserve">Soccer injuries was the </w:t>
            </w:r>
            <w:r w:rsidR="00F81F6A" w:rsidRPr="000A7465">
              <w:rPr>
                <w:rFonts w:ascii="Times New Roman" w:hAnsi="Times New Roman" w:cs="Times New Roman"/>
                <w:sz w:val="18"/>
                <w:szCs w:val="18"/>
              </w:rPr>
              <w:t xml:space="preserve">primary outcome </w:t>
            </w:r>
          </w:p>
          <w:p w14:paraId="7E43DC87" w14:textId="77777777" w:rsidR="00075B94" w:rsidRPr="000A7465" w:rsidRDefault="00075B94" w:rsidP="00075B94">
            <w:pPr>
              <w:rPr>
                <w:rFonts w:ascii="Times New Roman" w:hAnsi="Times New Roman" w:cs="Times New Roman"/>
                <w:sz w:val="18"/>
                <w:szCs w:val="18"/>
              </w:rPr>
            </w:pPr>
          </w:p>
          <w:p w14:paraId="0C70302B" w14:textId="77777777" w:rsidR="00075B94" w:rsidRPr="000A7465" w:rsidRDefault="00075B94" w:rsidP="00075B94">
            <w:pPr>
              <w:rPr>
                <w:rFonts w:ascii="Times New Roman" w:hAnsi="Times New Roman" w:cs="Times New Roman"/>
                <w:b/>
                <w:sz w:val="18"/>
                <w:szCs w:val="18"/>
              </w:rPr>
            </w:pPr>
            <w:r w:rsidRPr="000A7465">
              <w:rPr>
                <w:rFonts w:ascii="Times New Roman" w:hAnsi="Times New Roman" w:cs="Times New Roman"/>
                <w:b/>
                <w:sz w:val="18"/>
                <w:szCs w:val="18"/>
              </w:rPr>
              <w:t>Intervention:</w:t>
            </w:r>
          </w:p>
          <w:p w14:paraId="46F4953F" w14:textId="11F3BA61" w:rsidR="00075B94" w:rsidRPr="000A7465" w:rsidRDefault="000A7465" w:rsidP="00013DE8">
            <w:pPr>
              <w:pStyle w:val="ListParagraph"/>
              <w:numPr>
                <w:ilvl w:val="0"/>
                <w:numId w:val="2"/>
              </w:numPr>
              <w:rPr>
                <w:rFonts w:ascii="Times New Roman" w:hAnsi="Times New Roman" w:cs="Times New Roman"/>
                <w:sz w:val="18"/>
                <w:szCs w:val="18"/>
              </w:rPr>
            </w:pPr>
            <w:r>
              <w:rPr>
                <w:rFonts w:ascii="Times New Roman" w:hAnsi="Times New Roman" w:cs="Times New Roman"/>
                <w:sz w:val="18"/>
                <w:szCs w:val="18"/>
              </w:rPr>
              <w:t xml:space="preserve">The </w:t>
            </w:r>
            <w:r w:rsidR="00075B94" w:rsidRPr="000A7465">
              <w:rPr>
                <w:rFonts w:ascii="Times New Roman" w:hAnsi="Times New Roman" w:cs="Times New Roman"/>
                <w:sz w:val="18"/>
                <w:szCs w:val="18"/>
              </w:rPr>
              <w:t xml:space="preserve">“11+” </w:t>
            </w:r>
            <w:r>
              <w:rPr>
                <w:rFonts w:ascii="Times New Roman" w:hAnsi="Times New Roman" w:cs="Times New Roman"/>
                <w:sz w:val="18"/>
                <w:szCs w:val="18"/>
              </w:rPr>
              <w:t>IPP</w:t>
            </w:r>
            <w:r w:rsidR="00075B94" w:rsidRPr="000A7465">
              <w:rPr>
                <w:rFonts w:ascii="Times New Roman" w:hAnsi="Times New Roman" w:cs="Times New Roman"/>
                <w:sz w:val="18"/>
                <w:szCs w:val="18"/>
              </w:rPr>
              <w:t xml:space="preserve"> or </w:t>
            </w:r>
            <w:r>
              <w:rPr>
                <w:rFonts w:ascii="Times New Roman" w:hAnsi="Times New Roman" w:cs="Times New Roman"/>
                <w:sz w:val="18"/>
                <w:szCs w:val="18"/>
              </w:rPr>
              <w:t xml:space="preserve">the </w:t>
            </w:r>
            <w:r w:rsidR="00075B94" w:rsidRPr="000A7465">
              <w:rPr>
                <w:rFonts w:ascii="Times New Roman" w:hAnsi="Times New Roman" w:cs="Times New Roman"/>
                <w:sz w:val="18"/>
                <w:szCs w:val="18"/>
              </w:rPr>
              <w:t xml:space="preserve">“11” </w:t>
            </w:r>
            <w:r>
              <w:rPr>
                <w:rFonts w:ascii="Times New Roman" w:hAnsi="Times New Roman" w:cs="Times New Roman"/>
                <w:sz w:val="18"/>
                <w:szCs w:val="18"/>
              </w:rPr>
              <w:t>IPP</w:t>
            </w:r>
            <w:r w:rsidR="00075B94" w:rsidRPr="000A7465">
              <w:rPr>
                <w:rFonts w:ascii="Times New Roman" w:hAnsi="Times New Roman" w:cs="Times New Roman"/>
                <w:sz w:val="18"/>
                <w:szCs w:val="18"/>
              </w:rPr>
              <w:t xml:space="preserve"> </w:t>
            </w:r>
          </w:p>
          <w:p w14:paraId="300E717F" w14:textId="77777777" w:rsidR="00075B94" w:rsidRPr="000A7465" w:rsidRDefault="00075B94" w:rsidP="00075B94">
            <w:pPr>
              <w:rPr>
                <w:rFonts w:ascii="Times New Roman" w:hAnsi="Times New Roman" w:cs="Times New Roman"/>
                <w:sz w:val="18"/>
                <w:szCs w:val="18"/>
              </w:rPr>
            </w:pPr>
            <w:r w:rsidRPr="000A7465">
              <w:rPr>
                <w:rFonts w:ascii="Times New Roman" w:hAnsi="Times New Roman" w:cs="Times New Roman"/>
                <w:b/>
                <w:sz w:val="18"/>
                <w:szCs w:val="18"/>
              </w:rPr>
              <w:t>Control</w:t>
            </w:r>
            <w:r w:rsidRPr="000A7465">
              <w:rPr>
                <w:rFonts w:ascii="Times New Roman" w:hAnsi="Times New Roman" w:cs="Times New Roman"/>
                <w:sz w:val="18"/>
                <w:szCs w:val="18"/>
              </w:rPr>
              <w:t>:</w:t>
            </w:r>
          </w:p>
          <w:p w14:paraId="3524E649" w14:textId="77777777" w:rsidR="00075B94" w:rsidRPr="000A7465" w:rsidRDefault="00075B94" w:rsidP="00013DE8">
            <w:pPr>
              <w:pStyle w:val="ListParagraph"/>
              <w:numPr>
                <w:ilvl w:val="0"/>
                <w:numId w:val="2"/>
              </w:numPr>
              <w:rPr>
                <w:rFonts w:ascii="Times New Roman" w:hAnsi="Times New Roman" w:cs="Times New Roman"/>
                <w:sz w:val="18"/>
                <w:szCs w:val="18"/>
              </w:rPr>
            </w:pPr>
            <w:r w:rsidRPr="000A7465">
              <w:rPr>
                <w:rFonts w:ascii="Times New Roman" w:hAnsi="Times New Roman" w:cs="Times New Roman"/>
                <w:sz w:val="18"/>
                <w:szCs w:val="18"/>
              </w:rPr>
              <w:t xml:space="preserve">No injury prevention program, routine warmup </w:t>
            </w:r>
          </w:p>
          <w:p w14:paraId="63A34D7E" w14:textId="77777777" w:rsidR="00075B94" w:rsidRPr="000A7465" w:rsidRDefault="00075B94" w:rsidP="00075B94">
            <w:pPr>
              <w:rPr>
                <w:rFonts w:ascii="Times New Roman" w:hAnsi="Times New Roman" w:cs="Times New Roman"/>
                <w:b/>
                <w:sz w:val="18"/>
                <w:szCs w:val="18"/>
              </w:rPr>
            </w:pPr>
          </w:p>
          <w:p w14:paraId="0AE0C5D9" w14:textId="77777777" w:rsidR="00075B94" w:rsidRPr="000A7465" w:rsidRDefault="00075B94" w:rsidP="00075B94">
            <w:pPr>
              <w:rPr>
                <w:rFonts w:ascii="Times New Roman" w:hAnsi="Times New Roman" w:cs="Times New Roman"/>
                <w:sz w:val="18"/>
                <w:szCs w:val="18"/>
              </w:rPr>
            </w:pPr>
            <w:r w:rsidRPr="000A7465">
              <w:rPr>
                <w:rFonts w:ascii="Times New Roman" w:hAnsi="Times New Roman" w:cs="Times New Roman"/>
                <w:b/>
                <w:sz w:val="18"/>
                <w:szCs w:val="18"/>
              </w:rPr>
              <w:t>Study characteristics</w:t>
            </w:r>
            <w:r w:rsidRPr="000A7465">
              <w:rPr>
                <w:rFonts w:ascii="Times New Roman" w:hAnsi="Times New Roman" w:cs="Times New Roman"/>
                <w:sz w:val="18"/>
                <w:szCs w:val="18"/>
              </w:rPr>
              <w:t xml:space="preserve"> </w:t>
            </w:r>
          </w:p>
          <w:p w14:paraId="6C12DEF6" w14:textId="567B181C" w:rsidR="00075B94" w:rsidRPr="000A7465" w:rsidRDefault="00075B94" w:rsidP="00013DE8">
            <w:pPr>
              <w:pStyle w:val="ListParagraph"/>
              <w:numPr>
                <w:ilvl w:val="0"/>
                <w:numId w:val="2"/>
              </w:numPr>
              <w:rPr>
                <w:rFonts w:ascii="Times New Roman" w:hAnsi="Times New Roman" w:cs="Times New Roman"/>
                <w:sz w:val="18"/>
                <w:szCs w:val="18"/>
              </w:rPr>
            </w:pPr>
            <w:r w:rsidRPr="000A7465">
              <w:rPr>
                <w:rFonts w:ascii="Times New Roman" w:hAnsi="Times New Roman" w:cs="Times New Roman"/>
                <w:sz w:val="18"/>
                <w:szCs w:val="18"/>
              </w:rPr>
              <w:t>6 cluste</w:t>
            </w:r>
            <w:r w:rsidR="00F81F6A" w:rsidRPr="000A7465">
              <w:rPr>
                <w:rFonts w:ascii="Times New Roman" w:hAnsi="Times New Roman" w:cs="Times New Roman"/>
                <w:sz w:val="18"/>
                <w:szCs w:val="18"/>
              </w:rPr>
              <w:t>r randomized controlled trials</w:t>
            </w:r>
          </w:p>
          <w:p w14:paraId="2F3735B5" w14:textId="3518A3E3" w:rsidR="00F81F6A" w:rsidRPr="000A7465" w:rsidRDefault="001B1A6C" w:rsidP="00013DE8">
            <w:pPr>
              <w:pStyle w:val="ListParagraph"/>
              <w:numPr>
                <w:ilvl w:val="0"/>
                <w:numId w:val="2"/>
              </w:numPr>
              <w:rPr>
                <w:rFonts w:ascii="Times New Roman" w:hAnsi="Times New Roman" w:cs="Times New Roman"/>
                <w:sz w:val="18"/>
                <w:szCs w:val="18"/>
              </w:rPr>
            </w:pPr>
            <w:r w:rsidRPr="000A7465">
              <w:rPr>
                <w:rFonts w:ascii="Times New Roman" w:hAnsi="Times New Roman" w:cs="Times New Roman"/>
                <w:sz w:val="18"/>
                <w:szCs w:val="18"/>
              </w:rPr>
              <w:t>2 studies evaluated</w:t>
            </w:r>
            <w:r w:rsidR="00F81F6A" w:rsidRPr="000A7465">
              <w:rPr>
                <w:rFonts w:ascii="Times New Roman" w:hAnsi="Times New Roman" w:cs="Times New Roman"/>
                <w:sz w:val="18"/>
                <w:szCs w:val="18"/>
              </w:rPr>
              <w:t xml:space="preserve"> </w:t>
            </w:r>
            <w:r w:rsidR="000A7465">
              <w:rPr>
                <w:rFonts w:ascii="Times New Roman" w:hAnsi="Times New Roman" w:cs="Times New Roman"/>
                <w:sz w:val="18"/>
                <w:szCs w:val="18"/>
              </w:rPr>
              <w:t xml:space="preserve">the </w:t>
            </w:r>
            <w:r w:rsidR="00F81F6A" w:rsidRPr="000A7465">
              <w:rPr>
                <w:rFonts w:ascii="Times New Roman" w:hAnsi="Times New Roman" w:cs="Times New Roman"/>
                <w:sz w:val="18"/>
                <w:szCs w:val="18"/>
              </w:rPr>
              <w:t xml:space="preserve">“11” IPP, 4 studies evaluated </w:t>
            </w:r>
            <w:r w:rsidR="000A7465">
              <w:rPr>
                <w:rFonts w:ascii="Times New Roman" w:hAnsi="Times New Roman" w:cs="Times New Roman"/>
                <w:sz w:val="18"/>
                <w:szCs w:val="18"/>
              </w:rPr>
              <w:t xml:space="preserve">the </w:t>
            </w:r>
            <w:r w:rsidR="00F81F6A" w:rsidRPr="000A7465">
              <w:rPr>
                <w:rFonts w:ascii="Times New Roman" w:hAnsi="Times New Roman" w:cs="Times New Roman"/>
                <w:sz w:val="18"/>
                <w:szCs w:val="18"/>
              </w:rPr>
              <w:t>“11+” IPP</w:t>
            </w:r>
          </w:p>
          <w:p w14:paraId="4416B0B2" w14:textId="1540AB31" w:rsidR="00F81F6A" w:rsidRPr="000A7465" w:rsidRDefault="00013DE8" w:rsidP="00013DE8">
            <w:pPr>
              <w:pStyle w:val="ListParagraph"/>
              <w:numPr>
                <w:ilvl w:val="0"/>
                <w:numId w:val="2"/>
              </w:numPr>
              <w:rPr>
                <w:rFonts w:ascii="Times New Roman" w:hAnsi="Times New Roman" w:cs="Times New Roman"/>
                <w:sz w:val="18"/>
                <w:szCs w:val="18"/>
              </w:rPr>
            </w:pPr>
            <w:r w:rsidRPr="000A7465">
              <w:rPr>
                <w:rFonts w:ascii="Times New Roman" w:hAnsi="Times New Roman" w:cs="Times New Roman"/>
                <w:sz w:val="18"/>
                <w:szCs w:val="18"/>
              </w:rPr>
              <w:t>366 teams (</w:t>
            </w:r>
            <w:r w:rsidRPr="000A7465">
              <w:rPr>
                <w:rFonts w:ascii="Times New Roman" w:hAnsi="Times New Roman" w:cs="Times New Roman"/>
                <w:sz w:val="18"/>
                <w:szCs w:val="18"/>
                <w:lang w:val="en-AU"/>
              </w:rPr>
              <w:t>7,451 soccer players) combined a</w:t>
            </w:r>
            <w:r w:rsidR="001B1A6C" w:rsidRPr="000A7465">
              <w:rPr>
                <w:rFonts w:ascii="Times New Roman" w:hAnsi="Times New Roman" w:cs="Times New Roman"/>
                <w:sz w:val="18"/>
                <w:szCs w:val="18"/>
                <w:lang w:val="en-AU"/>
              </w:rPr>
              <w:t>cross all studies</w:t>
            </w:r>
          </w:p>
          <w:p w14:paraId="19EA14C3" w14:textId="77777777" w:rsidR="00013DE8" w:rsidRPr="000A7465" w:rsidRDefault="00013DE8" w:rsidP="00013DE8">
            <w:pPr>
              <w:pStyle w:val="ListParagraph"/>
              <w:numPr>
                <w:ilvl w:val="1"/>
                <w:numId w:val="2"/>
              </w:numPr>
              <w:rPr>
                <w:rFonts w:ascii="Times New Roman" w:hAnsi="Times New Roman" w:cs="Times New Roman"/>
                <w:sz w:val="18"/>
                <w:szCs w:val="18"/>
              </w:rPr>
            </w:pPr>
            <w:r w:rsidRPr="000A7465">
              <w:rPr>
                <w:rFonts w:ascii="Times New Roman" w:hAnsi="Times New Roman" w:cs="Times New Roman"/>
                <w:sz w:val="18"/>
                <w:szCs w:val="18"/>
              </w:rPr>
              <w:t>Control: 180 teams (3,645 players)</w:t>
            </w:r>
          </w:p>
          <w:p w14:paraId="442B4C7D" w14:textId="77777777" w:rsidR="00013DE8" w:rsidRPr="000A7465" w:rsidRDefault="00013DE8" w:rsidP="00013DE8">
            <w:pPr>
              <w:pStyle w:val="ListParagraph"/>
              <w:numPr>
                <w:ilvl w:val="1"/>
                <w:numId w:val="2"/>
              </w:numPr>
              <w:rPr>
                <w:rFonts w:ascii="Times New Roman" w:hAnsi="Times New Roman" w:cs="Times New Roman"/>
                <w:sz w:val="18"/>
                <w:szCs w:val="18"/>
              </w:rPr>
            </w:pPr>
            <w:r w:rsidRPr="000A7465">
              <w:rPr>
                <w:rFonts w:ascii="Times New Roman" w:hAnsi="Times New Roman" w:cs="Times New Roman"/>
                <w:sz w:val="18"/>
                <w:szCs w:val="18"/>
              </w:rPr>
              <w:t xml:space="preserve">Intervention: 186 teams (3,806 players) </w:t>
            </w:r>
          </w:p>
          <w:p w14:paraId="1AAAE3CE" w14:textId="77777777" w:rsidR="00AC2FF0" w:rsidRPr="000A7465" w:rsidRDefault="0064515E" w:rsidP="00075B94">
            <w:pPr>
              <w:pStyle w:val="ListParagraph"/>
              <w:numPr>
                <w:ilvl w:val="0"/>
                <w:numId w:val="2"/>
              </w:numPr>
              <w:rPr>
                <w:rFonts w:ascii="Times New Roman" w:hAnsi="Times New Roman" w:cs="Times New Roman"/>
                <w:sz w:val="18"/>
                <w:szCs w:val="18"/>
              </w:rPr>
            </w:pPr>
            <w:r w:rsidRPr="000A7465">
              <w:rPr>
                <w:rFonts w:ascii="Times New Roman" w:hAnsi="Times New Roman" w:cs="Times New Roman"/>
                <w:sz w:val="18"/>
                <w:szCs w:val="18"/>
              </w:rPr>
              <w:t>Average athletic exposures</w:t>
            </w:r>
            <w:r w:rsidR="00013DE8" w:rsidRPr="000A7465">
              <w:rPr>
                <w:rFonts w:ascii="Times New Roman" w:hAnsi="Times New Roman" w:cs="Times New Roman"/>
                <w:sz w:val="18"/>
                <w:szCs w:val="18"/>
              </w:rPr>
              <w:t>: 510.00</w:t>
            </w:r>
            <w:r w:rsidRPr="000A7465">
              <w:rPr>
                <w:rFonts w:ascii="Times New Roman" w:hAnsi="Times New Roman" w:cs="Times New Roman"/>
                <w:sz w:val="18"/>
                <w:szCs w:val="18"/>
              </w:rPr>
              <w:t xml:space="preserve"> per player (games and practice); 1 athletic exposure = 1.5 hours</w:t>
            </w:r>
          </w:p>
          <w:p w14:paraId="0753C86A" w14:textId="28F208B7" w:rsidR="00A144C8" w:rsidRPr="000A7465" w:rsidRDefault="00A144C8" w:rsidP="00075B94">
            <w:pPr>
              <w:pStyle w:val="ListParagraph"/>
              <w:numPr>
                <w:ilvl w:val="0"/>
                <w:numId w:val="2"/>
              </w:numPr>
              <w:rPr>
                <w:rFonts w:ascii="Times New Roman" w:hAnsi="Times New Roman" w:cs="Times New Roman"/>
                <w:sz w:val="18"/>
                <w:szCs w:val="18"/>
              </w:rPr>
            </w:pPr>
            <w:r w:rsidRPr="000A7465">
              <w:rPr>
                <w:rFonts w:ascii="Times New Roman" w:hAnsi="Times New Roman" w:cs="Times New Roman"/>
                <w:sz w:val="18"/>
                <w:szCs w:val="18"/>
              </w:rPr>
              <w:t>Duration: 5-9 months</w:t>
            </w:r>
          </w:p>
        </w:tc>
        <w:tc>
          <w:tcPr>
            <w:tcW w:w="4584" w:type="dxa"/>
          </w:tcPr>
          <w:p w14:paraId="7EB9B196" w14:textId="5B0345E0" w:rsidR="0064515E" w:rsidRPr="000A7465" w:rsidRDefault="0064515E" w:rsidP="0064515E">
            <w:pPr>
              <w:rPr>
                <w:rFonts w:ascii="Times New Roman" w:hAnsi="Times New Roman" w:cs="Times New Roman"/>
                <w:sz w:val="18"/>
                <w:szCs w:val="18"/>
                <w:lang w:val="en-AU"/>
              </w:rPr>
            </w:pPr>
            <w:r w:rsidRPr="000A7465">
              <w:rPr>
                <w:rFonts w:ascii="Times New Roman" w:hAnsi="Times New Roman" w:cs="Times New Roman"/>
                <w:b/>
                <w:sz w:val="18"/>
                <w:szCs w:val="18"/>
                <w:lang w:val="en-AU"/>
              </w:rPr>
              <w:t>Overall Injury Incidence</w:t>
            </w:r>
            <w:r w:rsidRPr="000A7465">
              <w:rPr>
                <w:rFonts w:ascii="Times New Roman" w:hAnsi="Times New Roman" w:cs="Times New Roman"/>
                <w:sz w:val="18"/>
                <w:szCs w:val="18"/>
                <w:lang w:val="en-AU"/>
              </w:rPr>
              <w:t xml:space="preserve"> (both </w:t>
            </w:r>
            <w:r w:rsidR="000A7465">
              <w:rPr>
                <w:rFonts w:ascii="Times New Roman" w:hAnsi="Times New Roman" w:cs="Times New Roman"/>
                <w:sz w:val="18"/>
                <w:szCs w:val="18"/>
                <w:lang w:val="en-AU"/>
              </w:rPr>
              <w:t>the “</w:t>
            </w:r>
            <w:r w:rsidRPr="000A7465">
              <w:rPr>
                <w:rFonts w:ascii="Times New Roman" w:hAnsi="Times New Roman" w:cs="Times New Roman"/>
                <w:sz w:val="18"/>
                <w:szCs w:val="18"/>
                <w:lang w:val="en-AU"/>
              </w:rPr>
              <w:t>11</w:t>
            </w:r>
            <w:r w:rsidR="000A7465">
              <w:rPr>
                <w:rFonts w:ascii="Times New Roman" w:hAnsi="Times New Roman" w:cs="Times New Roman"/>
                <w:sz w:val="18"/>
                <w:szCs w:val="18"/>
                <w:lang w:val="en-AU"/>
              </w:rPr>
              <w:t>” and the “</w:t>
            </w:r>
            <w:r w:rsidRPr="000A7465">
              <w:rPr>
                <w:rFonts w:ascii="Times New Roman" w:hAnsi="Times New Roman" w:cs="Times New Roman"/>
                <w:sz w:val="18"/>
                <w:szCs w:val="18"/>
                <w:lang w:val="en-AU"/>
              </w:rPr>
              <w:t>11+</w:t>
            </w:r>
            <w:r w:rsidR="001B1A6C" w:rsidRPr="000A7465">
              <w:rPr>
                <w:rFonts w:ascii="Times New Roman" w:hAnsi="Times New Roman" w:cs="Times New Roman"/>
                <w:sz w:val="18"/>
                <w:szCs w:val="18"/>
                <w:lang w:val="en-AU"/>
              </w:rPr>
              <w:t>”</w:t>
            </w:r>
            <w:r w:rsidRPr="000A7465">
              <w:rPr>
                <w:rFonts w:ascii="Times New Roman" w:hAnsi="Times New Roman" w:cs="Times New Roman"/>
                <w:sz w:val="18"/>
                <w:szCs w:val="18"/>
                <w:lang w:val="en-AU"/>
              </w:rPr>
              <w:t>) 6574 individuals, 510.055 average athletic exposures (1 athletic exposure = 1.5 hours), 2454 total injuries</w:t>
            </w:r>
          </w:p>
          <w:p w14:paraId="34DED5B5" w14:textId="6A197902" w:rsidR="0064515E" w:rsidRPr="000A7465" w:rsidRDefault="0064515E" w:rsidP="0064515E">
            <w:pPr>
              <w:numPr>
                <w:ilvl w:val="0"/>
                <w:numId w:val="22"/>
              </w:numPr>
              <w:rPr>
                <w:rFonts w:ascii="Times New Roman" w:hAnsi="Times New Roman" w:cs="Times New Roman"/>
                <w:sz w:val="18"/>
                <w:szCs w:val="18"/>
              </w:rPr>
            </w:pPr>
            <w:r w:rsidRPr="000A7465">
              <w:rPr>
                <w:rFonts w:ascii="Times New Roman" w:hAnsi="Times New Roman" w:cs="Times New Roman"/>
                <w:sz w:val="18"/>
                <w:szCs w:val="18"/>
              </w:rPr>
              <w:t xml:space="preserve">Intervention group: 3.99 injuries/1000 hours </w:t>
            </w:r>
          </w:p>
          <w:p w14:paraId="63B9514D" w14:textId="6E44247B" w:rsidR="0064515E" w:rsidRPr="000A7465" w:rsidRDefault="0064515E" w:rsidP="0064515E">
            <w:pPr>
              <w:numPr>
                <w:ilvl w:val="0"/>
                <w:numId w:val="22"/>
              </w:numPr>
              <w:rPr>
                <w:rFonts w:ascii="Times New Roman" w:hAnsi="Times New Roman" w:cs="Times New Roman"/>
                <w:sz w:val="18"/>
                <w:szCs w:val="18"/>
              </w:rPr>
            </w:pPr>
            <w:r w:rsidRPr="000A7465">
              <w:rPr>
                <w:rFonts w:ascii="Times New Roman" w:hAnsi="Times New Roman" w:cs="Times New Roman"/>
                <w:sz w:val="18"/>
                <w:szCs w:val="18"/>
              </w:rPr>
              <w:t xml:space="preserve">Control group: 5.57 injuries/1000 hours </w:t>
            </w:r>
          </w:p>
          <w:p w14:paraId="5770DAED" w14:textId="4B3E048A" w:rsidR="0064515E" w:rsidRPr="000A7465" w:rsidRDefault="0064515E" w:rsidP="0064515E">
            <w:pPr>
              <w:numPr>
                <w:ilvl w:val="0"/>
                <w:numId w:val="22"/>
              </w:numPr>
              <w:rPr>
                <w:rFonts w:ascii="Times New Roman" w:hAnsi="Times New Roman" w:cs="Times New Roman"/>
                <w:sz w:val="18"/>
                <w:szCs w:val="18"/>
              </w:rPr>
            </w:pPr>
            <w:r w:rsidRPr="000A7465">
              <w:rPr>
                <w:rFonts w:ascii="Times New Roman" w:hAnsi="Times New Roman" w:cs="Times New Roman"/>
                <w:sz w:val="18"/>
                <w:szCs w:val="18"/>
              </w:rPr>
              <w:t xml:space="preserve">IRR for prevention programs groups versus control </w:t>
            </w:r>
            <w:proofErr w:type="gramStart"/>
            <w:r w:rsidRPr="000A7465">
              <w:rPr>
                <w:rFonts w:ascii="Times New Roman" w:hAnsi="Times New Roman" w:cs="Times New Roman"/>
                <w:sz w:val="18"/>
                <w:szCs w:val="18"/>
              </w:rPr>
              <w:t>=  0.75</w:t>
            </w:r>
            <w:proofErr w:type="gramEnd"/>
            <w:r w:rsidRPr="000A7465">
              <w:rPr>
                <w:rFonts w:ascii="Times New Roman" w:hAnsi="Times New Roman" w:cs="Times New Roman"/>
                <w:sz w:val="18"/>
                <w:szCs w:val="18"/>
              </w:rPr>
              <w:t xml:space="preserve"> (95% CI 0.57 – 0.98, p=0.036) </w:t>
            </w:r>
          </w:p>
          <w:p w14:paraId="382F39CA" w14:textId="77777777" w:rsidR="003B1217" w:rsidRPr="000A7465" w:rsidRDefault="003B1217" w:rsidP="002259F7">
            <w:pPr>
              <w:rPr>
                <w:rFonts w:ascii="Times New Roman" w:hAnsi="Times New Roman" w:cs="Times New Roman"/>
                <w:sz w:val="18"/>
                <w:szCs w:val="18"/>
              </w:rPr>
            </w:pPr>
          </w:p>
          <w:p w14:paraId="00865B90" w14:textId="19F805F5" w:rsidR="002259F7" w:rsidRPr="000A7465" w:rsidRDefault="001B1A6C" w:rsidP="002259F7">
            <w:pPr>
              <w:rPr>
                <w:rFonts w:ascii="Times New Roman" w:hAnsi="Times New Roman" w:cs="Times New Roman"/>
                <w:b/>
                <w:sz w:val="18"/>
                <w:szCs w:val="18"/>
                <w:lang w:val="en-AU"/>
              </w:rPr>
            </w:pPr>
            <w:r w:rsidRPr="000A7465">
              <w:rPr>
                <w:rFonts w:ascii="Times New Roman" w:hAnsi="Times New Roman" w:cs="Times New Roman"/>
                <w:b/>
                <w:sz w:val="18"/>
                <w:szCs w:val="18"/>
                <w:lang w:val="en-AU"/>
              </w:rPr>
              <w:t xml:space="preserve">FIFA </w:t>
            </w:r>
            <w:r w:rsidR="006F1523">
              <w:rPr>
                <w:rFonts w:ascii="Times New Roman" w:hAnsi="Times New Roman" w:cs="Times New Roman"/>
                <w:b/>
                <w:sz w:val="18"/>
                <w:szCs w:val="18"/>
                <w:lang w:val="en-AU"/>
              </w:rPr>
              <w:t>“</w:t>
            </w:r>
            <w:r w:rsidRPr="000A7465">
              <w:rPr>
                <w:rFonts w:ascii="Times New Roman" w:hAnsi="Times New Roman" w:cs="Times New Roman"/>
                <w:b/>
                <w:sz w:val="18"/>
                <w:szCs w:val="18"/>
                <w:lang w:val="en-AU"/>
              </w:rPr>
              <w:t>11+</w:t>
            </w:r>
            <w:r w:rsidR="006F1523">
              <w:rPr>
                <w:rFonts w:ascii="Times New Roman" w:hAnsi="Times New Roman" w:cs="Times New Roman"/>
                <w:b/>
                <w:sz w:val="18"/>
                <w:szCs w:val="18"/>
                <w:lang w:val="en-AU"/>
              </w:rPr>
              <w:t>”</w:t>
            </w:r>
            <w:r w:rsidRPr="000A7465">
              <w:rPr>
                <w:rFonts w:ascii="Times New Roman" w:hAnsi="Times New Roman" w:cs="Times New Roman"/>
                <w:b/>
                <w:sz w:val="18"/>
                <w:szCs w:val="18"/>
                <w:lang w:val="en-AU"/>
              </w:rPr>
              <w:t xml:space="preserve"> Injury Incidence:</w:t>
            </w:r>
            <w:r w:rsidR="000A7465">
              <w:rPr>
                <w:rFonts w:ascii="Times New Roman" w:hAnsi="Times New Roman" w:cs="Times New Roman"/>
                <w:sz w:val="18"/>
                <w:szCs w:val="18"/>
                <w:lang w:val="en-AU"/>
              </w:rPr>
              <w:t xml:space="preserve"> “</w:t>
            </w:r>
            <w:r w:rsidR="002259F7" w:rsidRPr="000A7465">
              <w:rPr>
                <w:rFonts w:ascii="Times New Roman" w:hAnsi="Times New Roman" w:cs="Times New Roman"/>
                <w:sz w:val="18"/>
                <w:szCs w:val="18"/>
              </w:rPr>
              <w:t>11+</w:t>
            </w:r>
            <w:r w:rsidRPr="000A7465">
              <w:rPr>
                <w:rFonts w:ascii="Times New Roman" w:hAnsi="Times New Roman" w:cs="Times New Roman"/>
                <w:sz w:val="18"/>
                <w:szCs w:val="18"/>
              </w:rPr>
              <w:t>”</w:t>
            </w:r>
            <w:r w:rsidR="002259F7" w:rsidRPr="000A7465">
              <w:rPr>
                <w:rFonts w:ascii="Times New Roman" w:hAnsi="Times New Roman" w:cs="Times New Roman"/>
                <w:sz w:val="18"/>
                <w:szCs w:val="18"/>
              </w:rPr>
              <w:t xml:space="preserve"> IPP versus control</w:t>
            </w:r>
          </w:p>
          <w:tbl>
            <w:tblPr>
              <w:tblStyle w:val="TableGrid"/>
              <w:tblW w:w="0" w:type="auto"/>
              <w:tblLayout w:type="fixed"/>
              <w:tblLook w:val="04A0" w:firstRow="1" w:lastRow="0" w:firstColumn="1" w:lastColumn="0" w:noHBand="0" w:noVBand="1"/>
            </w:tblPr>
            <w:tblGrid>
              <w:gridCol w:w="1322"/>
              <w:gridCol w:w="547"/>
              <w:gridCol w:w="983"/>
              <w:gridCol w:w="994"/>
            </w:tblGrid>
            <w:tr w:rsidR="002259F7" w:rsidRPr="000A7465" w14:paraId="6F35783C" w14:textId="77777777" w:rsidTr="00C609F5">
              <w:tc>
                <w:tcPr>
                  <w:tcW w:w="1322" w:type="dxa"/>
                </w:tcPr>
                <w:p w14:paraId="0C3A1C0B" w14:textId="77777777" w:rsidR="002259F7" w:rsidRPr="000A7465" w:rsidRDefault="002259F7" w:rsidP="00A82EC1">
                  <w:pPr>
                    <w:rPr>
                      <w:rFonts w:ascii="Times New Roman" w:hAnsi="Times New Roman" w:cs="Times New Roman"/>
                      <w:b/>
                      <w:sz w:val="18"/>
                      <w:szCs w:val="18"/>
                    </w:rPr>
                  </w:pPr>
                  <w:r w:rsidRPr="000A7465">
                    <w:rPr>
                      <w:rFonts w:ascii="Times New Roman" w:hAnsi="Times New Roman" w:cs="Times New Roman"/>
                      <w:b/>
                      <w:sz w:val="18"/>
                      <w:szCs w:val="18"/>
                    </w:rPr>
                    <w:t>Injury Region</w:t>
                  </w:r>
                </w:p>
              </w:tc>
              <w:tc>
                <w:tcPr>
                  <w:tcW w:w="547" w:type="dxa"/>
                </w:tcPr>
                <w:p w14:paraId="2C5288D8" w14:textId="77777777" w:rsidR="002259F7" w:rsidRPr="000A7465" w:rsidRDefault="002259F7" w:rsidP="00A82EC1">
                  <w:pPr>
                    <w:rPr>
                      <w:rFonts w:ascii="Times New Roman" w:hAnsi="Times New Roman" w:cs="Times New Roman"/>
                      <w:b/>
                      <w:sz w:val="18"/>
                      <w:szCs w:val="18"/>
                    </w:rPr>
                  </w:pPr>
                  <w:r w:rsidRPr="000A7465">
                    <w:rPr>
                      <w:rFonts w:ascii="Times New Roman" w:hAnsi="Times New Roman" w:cs="Times New Roman"/>
                      <w:b/>
                      <w:sz w:val="18"/>
                      <w:szCs w:val="18"/>
                    </w:rPr>
                    <w:t>IRR</w:t>
                  </w:r>
                </w:p>
              </w:tc>
              <w:tc>
                <w:tcPr>
                  <w:tcW w:w="983" w:type="dxa"/>
                </w:tcPr>
                <w:p w14:paraId="75589ECE" w14:textId="77777777" w:rsidR="002259F7" w:rsidRPr="000A7465" w:rsidRDefault="002259F7" w:rsidP="00A82EC1">
                  <w:pPr>
                    <w:rPr>
                      <w:rFonts w:ascii="Times New Roman" w:hAnsi="Times New Roman" w:cs="Times New Roman"/>
                      <w:b/>
                      <w:sz w:val="18"/>
                      <w:szCs w:val="18"/>
                    </w:rPr>
                  </w:pPr>
                  <w:r w:rsidRPr="000A7465">
                    <w:rPr>
                      <w:rFonts w:ascii="Times New Roman" w:hAnsi="Times New Roman" w:cs="Times New Roman"/>
                      <w:b/>
                      <w:sz w:val="18"/>
                      <w:szCs w:val="18"/>
                    </w:rPr>
                    <w:t>95% CI</w:t>
                  </w:r>
                </w:p>
              </w:tc>
              <w:tc>
                <w:tcPr>
                  <w:tcW w:w="994" w:type="dxa"/>
                </w:tcPr>
                <w:p w14:paraId="63D14AF5" w14:textId="77777777" w:rsidR="002259F7" w:rsidRPr="000A7465" w:rsidRDefault="002259F7" w:rsidP="00A82EC1">
                  <w:pPr>
                    <w:rPr>
                      <w:rFonts w:ascii="Times New Roman" w:hAnsi="Times New Roman" w:cs="Times New Roman"/>
                      <w:b/>
                      <w:sz w:val="18"/>
                      <w:szCs w:val="18"/>
                    </w:rPr>
                  </w:pPr>
                  <w:r w:rsidRPr="000A7465">
                    <w:rPr>
                      <w:rFonts w:ascii="Times New Roman" w:hAnsi="Times New Roman" w:cs="Times New Roman"/>
                      <w:b/>
                      <w:sz w:val="18"/>
                      <w:szCs w:val="18"/>
                    </w:rPr>
                    <w:t>p value</w:t>
                  </w:r>
                </w:p>
              </w:tc>
            </w:tr>
            <w:tr w:rsidR="002259F7" w:rsidRPr="000A7465" w14:paraId="607A9D1E" w14:textId="77777777" w:rsidTr="00C609F5">
              <w:trPr>
                <w:trHeight w:val="179"/>
              </w:trPr>
              <w:tc>
                <w:tcPr>
                  <w:tcW w:w="1322" w:type="dxa"/>
                </w:tcPr>
                <w:p w14:paraId="2796A053" w14:textId="5AEA6E06" w:rsidR="002259F7" w:rsidRPr="000A7465" w:rsidRDefault="002259F7" w:rsidP="00A82EC1">
                  <w:pPr>
                    <w:rPr>
                      <w:rFonts w:ascii="Times New Roman" w:hAnsi="Times New Roman" w:cs="Times New Roman"/>
                      <w:sz w:val="18"/>
                      <w:szCs w:val="18"/>
                    </w:rPr>
                  </w:pPr>
                  <w:r w:rsidRPr="000A7465">
                    <w:rPr>
                      <w:rFonts w:ascii="Times New Roman" w:hAnsi="Times New Roman" w:cs="Times New Roman"/>
                      <w:sz w:val="18"/>
                      <w:szCs w:val="18"/>
                    </w:rPr>
                    <w:t>all injuries</w:t>
                  </w:r>
                </w:p>
              </w:tc>
              <w:tc>
                <w:tcPr>
                  <w:tcW w:w="547" w:type="dxa"/>
                </w:tcPr>
                <w:p w14:paraId="58915E00" w14:textId="6E8BCC1F" w:rsidR="002259F7" w:rsidRPr="000A7465" w:rsidRDefault="002259F7" w:rsidP="00A82EC1">
                  <w:pPr>
                    <w:rPr>
                      <w:rFonts w:ascii="Times New Roman" w:hAnsi="Times New Roman" w:cs="Times New Roman"/>
                      <w:sz w:val="18"/>
                      <w:szCs w:val="18"/>
                    </w:rPr>
                  </w:pPr>
                  <w:r w:rsidRPr="000A7465">
                    <w:rPr>
                      <w:rFonts w:ascii="Times New Roman" w:hAnsi="Times New Roman" w:cs="Times New Roman"/>
                      <w:sz w:val="18"/>
                      <w:szCs w:val="18"/>
                    </w:rPr>
                    <w:t>0.61</w:t>
                  </w:r>
                </w:p>
              </w:tc>
              <w:tc>
                <w:tcPr>
                  <w:tcW w:w="983" w:type="dxa"/>
                </w:tcPr>
                <w:p w14:paraId="5BD01BA3" w14:textId="68D4C395" w:rsidR="002259F7" w:rsidRPr="000A7465" w:rsidRDefault="002259F7" w:rsidP="00A82EC1">
                  <w:pPr>
                    <w:rPr>
                      <w:rFonts w:ascii="Times New Roman" w:hAnsi="Times New Roman" w:cs="Times New Roman"/>
                      <w:sz w:val="18"/>
                      <w:szCs w:val="18"/>
                    </w:rPr>
                  </w:pPr>
                  <w:r w:rsidRPr="000A7465">
                    <w:rPr>
                      <w:rFonts w:ascii="Times New Roman" w:hAnsi="Times New Roman" w:cs="Times New Roman"/>
                      <w:sz w:val="18"/>
                      <w:szCs w:val="18"/>
                    </w:rPr>
                    <w:t>0.48-0.77</w:t>
                  </w:r>
                </w:p>
              </w:tc>
              <w:tc>
                <w:tcPr>
                  <w:tcW w:w="994" w:type="dxa"/>
                </w:tcPr>
                <w:p w14:paraId="59C11CCC" w14:textId="45601D05" w:rsidR="002259F7" w:rsidRPr="000A7465" w:rsidRDefault="002259F7" w:rsidP="00A82EC1">
                  <w:pPr>
                    <w:rPr>
                      <w:rFonts w:ascii="Times New Roman" w:hAnsi="Times New Roman" w:cs="Times New Roman"/>
                      <w:sz w:val="18"/>
                      <w:szCs w:val="18"/>
                    </w:rPr>
                  </w:pPr>
                  <w:r w:rsidRPr="000A7465">
                    <w:rPr>
                      <w:rFonts w:ascii="Times New Roman" w:hAnsi="Times New Roman" w:cs="Times New Roman"/>
                      <w:sz w:val="18"/>
                      <w:szCs w:val="18"/>
                    </w:rPr>
                    <w:t>p &lt; 0.001*</w:t>
                  </w:r>
                </w:p>
              </w:tc>
            </w:tr>
            <w:tr w:rsidR="002259F7" w:rsidRPr="000A7465" w14:paraId="4A9FC2AF" w14:textId="77777777" w:rsidTr="00C609F5">
              <w:trPr>
                <w:trHeight w:val="170"/>
              </w:trPr>
              <w:tc>
                <w:tcPr>
                  <w:tcW w:w="1322" w:type="dxa"/>
                </w:tcPr>
                <w:p w14:paraId="715290D4" w14:textId="77777777" w:rsidR="002259F7" w:rsidRPr="000A7465" w:rsidRDefault="002259F7" w:rsidP="00A82EC1">
                  <w:pPr>
                    <w:rPr>
                      <w:rFonts w:ascii="Times New Roman" w:hAnsi="Times New Roman" w:cs="Times New Roman"/>
                      <w:sz w:val="18"/>
                      <w:szCs w:val="18"/>
                    </w:rPr>
                  </w:pPr>
                  <w:r w:rsidRPr="000A7465">
                    <w:rPr>
                      <w:rFonts w:ascii="Times New Roman" w:hAnsi="Times New Roman" w:cs="Times New Roman"/>
                      <w:sz w:val="18"/>
                      <w:szCs w:val="18"/>
                    </w:rPr>
                    <w:t>lower limb</w:t>
                  </w:r>
                </w:p>
              </w:tc>
              <w:tc>
                <w:tcPr>
                  <w:tcW w:w="547" w:type="dxa"/>
                </w:tcPr>
                <w:p w14:paraId="078AF8C0" w14:textId="77777777" w:rsidR="002259F7" w:rsidRPr="000A7465" w:rsidRDefault="002259F7" w:rsidP="00A82EC1">
                  <w:pPr>
                    <w:rPr>
                      <w:rFonts w:ascii="Times New Roman" w:hAnsi="Times New Roman" w:cs="Times New Roman"/>
                      <w:sz w:val="18"/>
                      <w:szCs w:val="18"/>
                    </w:rPr>
                  </w:pPr>
                  <w:r w:rsidRPr="000A7465">
                    <w:rPr>
                      <w:rFonts w:ascii="Times New Roman" w:hAnsi="Times New Roman" w:cs="Times New Roman"/>
                      <w:sz w:val="18"/>
                      <w:szCs w:val="18"/>
                    </w:rPr>
                    <w:t>0.63</w:t>
                  </w:r>
                </w:p>
              </w:tc>
              <w:tc>
                <w:tcPr>
                  <w:tcW w:w="983" w:type="dxa"/>
                </w:tcPr>
                <w:p w14:paraId="7975883B" w14:textId="77777777" w:rsidR="002259F7" w:rsidRPr="000A7465" w:rsidRDefault="002259F7" w:rsidP="00A82EC1">
                  <w:pPr>
                    <w:rPr>
                      <w:rFonts w:ascii="Times New Roman" w:hAnsi="Times New Roman" w:cs="Times New Roman"/>
                      <w:sz w:val="18"/>
                      <w:szCs w:val="18"/>
                    </w:rPr>
                  </w:pPr>
                  <w:r w:rsidRPr="000A7465">
                    <w:rPr>
                      <w:rFonts w:ascii="Times New Roman" w:hAnsi="Times New Roman" w:cs="Times New Roman"/>
                      <w:sz w:val="18"/>
                      <w:szCs w:val="18"/>
                    </w:rPr>
                    <w:t>0.48-0.81</w:t>
                  </w:r>
                </w:p>
              </w:tc>
              <w:tc>
                <w:tcPr>
                  <w:tcW w:w="994" w:type="dxa"/>
                </w:tcPr>
                <w:p w14:paraId="2CF83F43" w14:textId="77777777" w:rsidR="002259F7" w:rsidRPr="000A7465" w:rsidRDefault="002259F7" w:rsidP="00A82EC1">
                  <w:pPr>
                    <w:rPr>
                      <w:rFonts w:ascii="Times New Roman" w:hAnsi="Times New Roman" w:cs="Times New Roman"/>
                      <w:sz w:val="18"/>
                      <w:szCs w:val="18"/>
                    </w:rPr>
                  </w:pPr>
                  <w:r w:rsidRPr="000A7465">
                    <w:rPr>
                      <w:rFonts w:ascii="Times New Roman" w:hAnsi="Times New Roman" w:cs="Times New Roman"/>
                      <w:sz w:val="18"/>
                      <w:szCs w:val="18"/>
                    </w:rPr>
                    <w:t>p&lt;0.001*</w:t>
                  </w:r>
                </w:p>
              </w:tc>
            </w:tr>
            <w:tr w:rsidR="002259F7" w:rsidRPr="000A7465" w14:paraId="4F1FDE18" w14:textId="77777777" w:rsidTr="00C609F5">
              <w:trPr>
                <w:trHeight w:val="165"/>
              </w:trPr>
              <w:tc>
                <w:tcPr>
                  <w:tcW w:w="1322" w:type="dxa"/>
                </w:tcPr>
                <w:p w14:paraId="6DFC8924" w14:textId="77777777" w:rsidR="002259F7" w:rsidRPr="000A7465" w:rsidRDefault="002259F7" w:rsidP="00A82EC1">
                  <w:pPr>
                    <w:rPr>
                      <w:rFonts w:ascii="Times New Roman" w:hAnsi="Times New Roman" w:cs="Times New Roman"/>
                      <w:sz w:val="18"/>
                      <w:szCs w:val="18"/>
                    </w:rPr>
                  </w:pPr>
                  <w:r w:rsidRPr="000A7465">
                    <w:rPr>
                      <w:rFonts w:ascii="Times New Roman" w:hAnsi="Times New Roman" w:cs="Times New Roman"/>
                      <w:sz w:val="18"/>
                      <w:szCs w:val="18"/>
                    </w:rPr>
                    <w:t>hamstring</w:t>
                  </w:r>
                </w:p>
              </w:tc>
              <w:tc>
                <w:tcPr>
                  <w:tcW w:w="547" w:type="dxa"/>
                </w:tcPr>
                <w:p w14:paraId="0C26148E" w14:textId="77777777" w:rsidR="002259F7" w:rsidRPr="000A7465" w:rsidRDefault="002259F7" w:rsidP="00A82EC1">
                  <w:pPr>
                    <w:rPr>
                      <w:rFonts w:ascii="Times New Roman" w:hAnsi="Times New Roman" w:cs="Times New Roman"/>
                      <w:sz w:val="18"/>
                      <w:szCs w:val="18"/>
                    </w:rPr>
                  </w:pPr>
                  <w:r w:rsidRPr="000A7465">
                    <w:rPr>
                      <w:rFonts w:ascii="Times New Roman" w:hAnsi="Times New Roman" w:cs="Times New Roman"/>
                      <w:sz w:val="18"/>
                      <w:szCs w:val="18"/>
                    </w:rPr>
                    <w:t>0.40</w:t>
                  </w:r>
                </w:p>
              </w:tc>
              <w:tc>
                <w:tcPr>
                  <w:tcW w:w="983" w:type="dxa"/>
                </w:tcPr>
                <w:p w14:paraId="2BEF4369" w14:textId="77777777" w:rsidR="002259F7" w:rsidRPr="000A7465" w:rsidRDefault="002259F7" w:rsidP="00A82EC1">
                  <w:pPr>
                    <w:rPr>
                      <w:rFonts w:ascii="Times New Roman" w:hAnsi="Times New Roman" w:cs="Times New Roman"/>
                      <w:sz w:val="18"/>
                      <w:szCs w:val="18"/>
                    </w:rPr>
                  </w:pPr>
                  <w:r w:rsidRPr="000A7465">
                    <w:rPr>
                      <w:rFonts w:ascii="Times New Roman" w:hAnsi="Times New Roman" w:cs="Times New Roman"/>
                      <w:sz w:val="18"/>
                      <w:szCs w:val="18"/>
                    </w:rPr>
                    <w:t>0.19-0.84</w:t>
                  </w:r>
                </w:p>
              </w:tc>
              <w:tc>
                <w:tcPr>
                  <w:tcW w:w="994" w:type="dxa"/>
                </w:tcPr>
                <w:p w14:paraId="14F9D2FD" w14:textId="77777777" w:rsidR="002259F7" w:rsidRPr="000A7465" w:rsidRDefault="002259F7" w:rsidP="00A82EC1">
                  <w:pPr>
                    <w:rPr>
                      <w:rFonts w:ascii="Times New Roman" w:hAnsi="Times New Roman" w:cs="Times New Roman"/>
                      <w:sz w:val="18"/>
                      <w:szCs w:val="18"/>
                    </w:rPr>
                  </w:pPr>
                  <w:r w:rsidRPr="000A7465">
                    <w:rPr>
                      <w:rFonts w:ascii="Times New Roman" w:hAnsi="Times New Roman" w:cs="Times New Roman"/>
                      <w:sz w:val="18"/>
                      <w:szCs w:val="18"/>
                    </w:rPr>
                    <w:t>p=0.016*</w:t>
                  </w:r>
                </w:p>
              </w:tc>
            </w:tr>
            <w:tr w:rsidR="002259F7" w:rsidRPr="000A7465" w14:paraId="62937742" w14:textId="77777777" w:rsidTr="00C609F5">
              <w:tc>
                <w:tcPr>
                  <w:tcW w:w="1322" w:type="dxa"/>
                </w:tcPr>
                <w:p w14:paraId="149822AD" w14:textId="77777777" w:rsidR="002259F7" w:rsidRPr="000A7465" w:rsidRDefault="002259F7" w:rsidP="00A82EC1">
                  <w:pPr>
                    <w:rPr>
                      <w:rFonts w:ascii="Times New Roman" w:hAnsi="Times New Roman" w:cs="Times New Roman"/>
                      <w:sz w:val="18"/>
                      <w:szCs w:val="18"/>
                    </w:rPr>
                  </w:pPr>
                  <w:r w:rsidRPr="000A7465">
                    <w:rPr>
                      <w:rFonts w:ascii="Times New Roman" w:hAnsi="Times New Roman" w:cs="Times New Roman"/>
                      <w:sz w:val="18"/>
                      <w:szCs w:val="18"/>
                    </w:rPr>
                    <w:t>hip/groin</w:t>
                  </w:r>
                </w:p>
              </w:tc>
              <w:tc>
                <w:tcPr>
                  <w:tcW w:w="547" w:type="dxa"/>
                </w:tcPr>
                <w:p w14:paraId="2B77062A" w14:textId="77777777" w:rsidR="002259F7" w:rsidRPr="000A7465" w:rsidRDefault="002259F7" w:rsidP="00A82EC1">
                  <w:pPr>
                    <w:rPr>
                      <w:rFonts w:ascii="Times New Roman" w:hAnsi="Times New Roman" w:cs="Times New Roman"/>
                      <w:sz w:val="18"/>
                      <w:szCs w:val="18"/>
                    </w:rPr>
                  </w:pPr>
                  <w:r w:rsidRPr="000A7465">
                    <w:rPr>
                      <w:rFonts w:ascii="Times New Roman" w:hAnsi="Times New Roman" w:cs="Times New Roman"/>
                      <w:sz w:val="18"/>
                      <w:szCs w:val="18"/>
                    </w:rPr>
                    <w:t>0.59</w:t>
                  </w:r>
                </w:p>
              </w:tc>
              <w:tc>
                <w:tcPr>
                  <w:tcW w:w="983" w:type="dxa"/>
                </w:tcPr>
                <w:p w14:paraId="10343F65" w14:textId="77777777" w:rsidR="002259F7" w:rsidRPr="000A7465" w:rsidRDefault="002259F7" w:rsidP="00A82EC1">
                  <w:pPr>
                    <w:rPr>
                      <w:rFonts w:ascii="Times New Roman" w:hAnsi="Times New Roman" w:cs="Times New Roman"/>
                      <w:sz w:val="18"/>
                      <w:szCs w:val="18"/>
                    </w:rPr>
                  </w:pPr>
                  <w:r w:rsidRPr="000A7465">
                    <w:rPr>
                      <w:rFonts w:ascii="Times New Roman" w:hAnsi="Times New Roman" w:cs="Times New Roman"/>
                      <w:sz w:val="18"/>
                      <w:szCs w:val="18"/>
                    </w:rPr>
                    <w:t>0.35-0.97</w:t>
                  </w:r>
                </w:p>
              </w:tc>
              <w:tc>
                <w:tcPr>
                  <w:tcW w:w="994" w:type="dxa"/>
                </w:tcPr>
                <w:p w14:paraId="3F70B9C4" w14:textId="77777777" w:rsidR="002259F7" w:rsidRPr="000A7465" w:rsidRDefault="002259F7" w:rsidP="00A82EC1">
                  <w:pPr>
                    <w:rPr>
                      <w:rFonts w:ascii="Times New Roman" w:hAnsi="Times New Roman" w:cs="Times New Roman"/>
                      <w:sz w:val="18"/>
                      <w:szCs w:val="18"/>
                    </w:rPr>
                  </w:pPr>
                  <w:r w:rsidRPr="000A7465">
                    <w:rPr>
                      <w:rFonts w:ascii="Times New Roman" w:hAnsi="Times New Roman" w:cs="Times New Roman"/>
                      <w:sz w:val="18"/>
                      <w:szCs w:val="18"/>
                    </w:rPr>
                    <w:t>p=.037*</w:t>
                  </w:r>
                </w:p>
              </w:tc>
            </w:tr>
            <w:tr w:rsidR="002259F7" w:rsidRPr="000A7465" w14:paraId="44450EAE" w14:textId="77777777" w:rsidTr="00C609F5">
              <w:trPr>
                <w:trHeight w:val="183"/>
              </w:trPr>
              <w:tc>
                <w:tcPr>
                  <w:tcW w:w="1322" w:type="dxa"/>
                </w:tcPr>
                <w:p w14:paraId="4E52FDC3" w14:textId="77777777" w:rsidR="002259F7" w:rsidRPr="000A7465" w:rsidRDefault="002259F7" w:rsidP="00A82EC1">
                  <w:pPr>
                    <w:rPr>
                      <w:rFonts w:ascii="Times New Roman" w:hAnsi="Times New Roman" w:cs="Times New Roman"/>
                      <w:sz w:val="18"/>
                      <w:szCs w:val="18"/>
                    </w:rPr>
                  </w:pPr>
                  <w:r w:rsidRPr="000A7465">
                    <w:rPr>
                      <w:rFonts w:ascii="Times New Roman" w:hAnsi="Times New Roman" w:cs="Times New Roman"/>
                      <w:sz w:val="18"/>
                      <w:szCs w:val="18"/>
                    </w:rPr>
                    <w:t>knee</w:t>
                  </w:r>
                </w:p>
              </w:tc>
              <w:tc>
                <w:tcPr>
                  <w:tcW w:w="547" w:type="dxa"/>
                </w:tcPr>
                <w:p w14:paraId="60DDF30F" w14:textId="77777777" w:rsidR="002259F7" w:rsidRPr="000A7465" w:rsidRDefault="002259F7" w:rsidP="00A82EC1">
                  <w:pPr>
                    <w:rPr>
                      <w:rFonts w:ascii="Times New Roman" w:hAnsi="Times New Roman" w:cs="Times New Roman"/>
                      <w:sz w:val="18"/>
                      <w:szCs w:val="18"/>
                    </w:rPr>
                  </w:pPr>
                  <w:r w:rsidRPr="000A7465">
                    <w:rPr>
                      <w:rFonts w:ascii="Times New Roman" w:hAnsi="Times New Roman" w:cs="Times New Roman"/>
                      <w:sz w:val="18"/>
                      <w:szCs w:val="18"/>
                    </w:rPr>
                    <w:t>0.52</w:t>
                  </w:r>
                </w:p>
              </w:tc>
              <w:tc>
                <w:tcPr>
                  <w:tcW w:w="983" w:type="dxa"/>
                </w:tcPr>
                <w:p w14:paraId="3DC282C1" w14:textId="77777777" w:rsidR="002259F7" w:rsidRPr="000A7465" w:rsidRDefault="002259F7" w:rsidP="00A82EC1">
                  <w:pPr>
                    <w:rPr>
                      <w:rFonts w:ascii="Times New Roman" w:hAnsi="Times New Roman" w:cs="Times New Roman"/>
                      <w:sz w:val="18"/>
                      <w:szCs w:val="18"/>
                    </w:rPr>
                  </w:pPr>
                  <w:r w:rsidRPr="000A7465">
                    <w:rPr>
                      <w:rFonts w:ascii="Times New Roman" w:hAnsi="Times New Roman" w:cs="Times New Roman"/>
                      <w:sz w:val="18"/>
                      <w:szCs w:val="18"/>
                    </w:rPr>
                    <w:t>0.38-0.72</w:t>
                  </w:r>
                </w:p>
              </w:tc>
              <w:tc>
                <w:tcPr>
                  <w:tcW w:w="994" w:type="dxa"/>
                </w:tcPr>
                <w:p w14:paraId="6A1F0D10" w14:textId="77777777" w:rsidR="002259F7" w:rsidRPr="000A7465" w:rsidRDefault="002259F7" w:rsidP="00A82EC1">
                  <w:pPr>
                    <w:rPr>
                      <w:rFonts w:ascii="Times New Roman" w:hAnsi="Times New Roman" w:cs="Times New Roman"/>
                      <w:sz w:val="18"/>
                      <w:szCs w:val="18"/>
                    </w:rPr>
                  </w:pPr>
                  <w:r w:rsidRPr="000A7465">
                    <w:rPr>
                      <w:rFonts w:ascii="Times New Roman" w:hAnsi="Times New Roman" w:cs="Times New Roman"/>
                      <w:sz w:val="18"/>
                      <w:szCs w:val="18"/>
                    </w:rPr>
                    <w:t>p&lt;0.001*</w:t>
                  </w:r>
                </w:p>
              </w:tc>
            </w:tr>
            <w:tr w:rsidR="002259F7" w:rsidRPr="000A7465" w14:paraId="45C3A21B" w14:textId="77777777" w:rsidTr="00C609F5">
              <w:trPr>
                <w:trHeight w:val="174"/>
              </w:trPr>
              <w:tc>
                <w:tcPr>
                  <w:tcW w:w="1322" w:type="dxa"/>
                </w:tcPr>
                <w:p w14:paraId="28510A52" w14:textId="77777777" w:rsidR="002259F7" w:rsidRPr="000A7465" w:rsidRDefault="002259F7" w:rsidP="00A82EC1">
                  <w:pPr>
                    <w:rPr>
                      <w:rFonts w:ascii="Times New Roman" w:hAnsi="Times New Roman" w:cs="Times New Roman"/>
                      <w:sz w:val="18"/>
                      <w:szCs w:val="18"/>
                    </w:rPr>
                  </w:pPr>
                  <w:r w:rsidRPr="000A7465">
                    <w:rPr>
                      <w:rFonts w:ascii="Times New Roman" w:hAnsi="Times New Roman" w:cs="Times New Roman"/>
                      <w:sz w:val="18"/>
                      <w:szCs w:val="18"/>
                    </w:rPr>
                    <w:t>ankle</w:t>
                  </w:r>
                </w:p>
              </w:tc>
              <w:tc>
                <w:tcPr>
                  <w:tcW w:w="547" w:type="dxa"/>
                </w:tcPr>
                <w:p w14:paraId="4805AEDA" w14:textId="77777777" w:rsidR="002259F7" w:rsidRPr="000A7465" w:rsidRDefault="002259F7" w:rsidP="00A82EC1">
                  <w:pPr>
                    <w:rPr>
                      <w:rFonts w:ascii="Times New Roman" w:hAnsi="Times New Roman" w:cs="Times New Roman"/>
                      <w:sz w:val="18"/>
                      <w:szCs w:val="18"/>
                    </w:rPr>
                  </w:pPr>
                  <w:r w:rsidRPr="000A7465">
                    <w:rPr>
                      <w:rFonts w:ascii="Times New Roman" w:hAnsi="Times New Roman" w:cs="Times New Roman"/>
                      <w:sz w:val="18"/>
                      <w:szCs w:val="18"/>
                    </w:rPr>
                    <w:t>0.68</w:t>
                  </w:r>
                </w:p>
              </w:tc>
              <w:tc>
                <w:tcPr>
                  <w:tcW w:w="983" w:type="dxa"/>
                </w:tcPr>
                <w:p w14:paraId="1D11AA7A" w14:textId="77777777" w:rsidR="002259F7" w:rsidRPr="000A7465" w:rsidRDefault="002259F7" w:rsidP="00A82EC1">
                  <w:pPr>
                    <w:rPr>
                      <w:rFonts w:ascii="Times New Roman" w:hAnsi="Times New Roman" w:cs="Times New Roman"/>
                      <w:sz w:val="18"/>
                      <w:szCs w:val="18"/>
                    </w:rPr>
                  </w:pPr>
                  <w:r w:rsidRPr="000A7465">
                    <w:rPr>
                      <w:rFonts w:ascii="Times New Roman" w:hAnsi="Times New Roman" w:cs="Times New Roman"/>
                      <w:sz w:val="18"/>
                      <w:szCs w:val="18"/>
                    </w:rPr>
                    <w:t>0.48-0.97</w:t>
                  </w:r>
                </w:p>
              </w:tc>
              <w:tc>
                <w:tcPr>
                  <w:tcW w:w="994" w:type="dxa"/>
                </w:tcPr>
                <w:p w14:paraId="49C5D686" w14:textId="77777777" w:rsidR="002259F7" w:rsidRPr="000A7465" w:rsidRDefault="002259F7" w:rsidP="00A82EC1">
                  <w:pPr>
                    <w:rPr>
                      <w:rFonts w:ascii="Times New Roman" w:hAnsi="Times New Roman" w:cs="Times New Roman"/>
                      <w:sz w:val="18"/>
                      <w:szCs w:val="18"/>
                    </w:rPr>
                  </w:pPr>
                  <w:r w:rsidRPr="000A7465">
                    <w:rPr>
                      <w:rFonts w:ascii="Times New Roman" w:hAnsi="Times New Roman" w:cs="Times New Roman"/>
                      <w:sz w:val="18"/>
                      <w:szCs w:val="18"/>
                    </w:rPr>
                    <w:t>p=.035*</w:t>
                  </w:r>
                </w:p>
              </w:tc>
            </w:tr>
          </w:tbl>
          <w:p w14:paraId="3D7352BE" w14:textId="77777777" w:rsidR="002259F7" w:rsidRPr="000A7465" w:rsidRDefault="002259F7" w:rsidP="002259F7">
            <w:pPr>
              <w:rPr>
                <w:rFonts w:ascii="Times New Roman" w:hAnsi="Times New Roman" w:cs="Times New Roman"/>
                <w:sz w:val="18"/>
                <w:szCs w:val="18"/>
              </w:rPr>
            </w:pPr>
          </w:p>
          <w:p w14:paraId="68C70BEB" w14:textId="0854BDAC" w:rsidR="002259F7" w:rsidRPr="000A7465" w:rsidRDefault="002259F7" w:rsidP="002259F7">
            <w:pPr>
              <w:rPr>
                <w:rFonts w:ascii="Times New Roman" w:hAnsi="Times New Roman" w:cs="Times New Roman"/>
                <w:sz w:val="18"/>
                <w:szCs w:val="18"/>
                <w:lang w:val="en-AU"/>
              </w:rPr>
            </w:pPr>
            <w:r w:rsidRPr="000A7465">
              <w:rPr>
                <w:rFonts w:ascii="Times New Roman" w:hAnsi="Times New Roman" w:cs="Times New Roman"/>
                <w:b/>
                <w:sz w:val="18"/>
                <w:szCs w:val="18"/>
                <w:lang w:val="en-AU"/>
              </w:rPr>
              <w:t>Compliance</w:t>
            </w:r>
            <w:r w:rsidRPr="000A7465">
              <w:rPr>
                <w:rFonts w:ascii="Times New Roman" w:hAnsi="Times New Roman" w:cs="Times New Roman"/>
                <w:sz w:val="18"/>
                <w:szCs w:val="18"/>
                <w:lang w:val="en-AU"/>
              </w:rPr>
              <w:t>: The intervention teams completed an average of 1.2 sessions per week (SD ± 0.7). There was poor overall compliance with 87% of teams completing less than two sessions per week, the recommended minimum for the programs.</w:t>
            </w:r>
          </w:p>
          <w:p w14:paraId="37211C46" w14:textId="6A957EA1" w:rsidR="002259F7" w:rsidRPr="000A7465" w:rsidRDefault="001B1A6C" w:rsidP="002259F7">
            <w:pPr>
              <w:numPr>
                <w:ilvl w:val="0"/>
                <w:numId w:val="22"/>
              </w:numPr>
              <w:rPr>
                <w:rFonts w:ascii="Times New Roman" w:hAnsi="Times New Roman" w:cs="Times New Roman"/>
                <w:sz w:val="18"/>
                <w:szCs w:val="18"/>
              </w:rPr>
            </w:pPr>
            <w:r w:rsidRPr="000A7465">
              <w:rPr>
                <w:rFonts w:ascii="Times New Roman" w:hAnsi="Times New Roman" w:cs="Times New Roman"/>
                <w:sz w:val="18"/>
                <w:szCs w:val="18"/>
              </w:rPr>
              <w:t xml:space="preserve">No statistically significant </w:t>
            </w:r>
            <w:r w:rsidR="003B1217" w:rsidRPr="000A7465">
              <w:rPr>
                <w:rFonts w:ascii="Times New Roman" w:hAnsi="Times New Roman" w:cs="Times New Roman"/>
                <w:sz w:val="18"/>
                <w:szCs w:val="18"/>
              </w:rPr>
              <w:t>association between compliance and IRR (R</w:t>
            </w:r>
            <w:r w:rsidR="003B1217" w:rsidRPr="000A7465">
              <w:rPr>
                <w:rFonts w:ascii="Times New Roman" w:hAnsi="Times New Roman" w:cs="Times New Roman"/>
                <w:sz w:val="18"/>
                <w:szCs w:val="18"/>
                <w:vertAlign w:val="superscript"/>
              </w:rPr>
              <w:t>2</w:t>
            </w:r>
            <w:r w:rsidR="003B1217" w:rsidRPr="000A7465">
              <w:rPr>
                <w:rFonts w:ascii="Times New Roman" w:hAnsi="Times New Roman" w:cs="Times New Roman"/>
                <w:sz w:val="18"/>
                <w:szCs w:val="18"/>
              </w:rPr>
              <w:t xml:space="preserve"> = 72.4%, p = 0.107) but the results point</w:t>
            </w:r>
            <w:r w:rsidRPr="000A7465">
              <w:rPr>
                <w:rFonts w:ascii="Times New Roman" w:hAnsi="Times New Roman" w:cs="Times New Roman"/>
                <w:sz w:val="18"/>
                <w:szCs w:val="18"/>
              </w:rPr>
              <w:t xml:space="preserve"> towards</w:t>
            </w:r>
            <w:r w:rsidR="003B1217" w:rsidRPr="000A7465">
              <w:rPr>
                <w:rFonts w:ascii="Times New Roman" w:hAnsi="Times New Roman" w:cs="Times New Roman"/>
                <w:sz w:val="18"/>
                <w:szCs w:val="18"/>
              </w:rPr>
              <w:t xml:space="preserve"> a correlation between higher compliance and increased preventative effect</w:t>
            </w:r>
          </w:p>
          <w:p w14:paraId="2551C203" w14:textId="77777777" w:rsidR="003B1217" w:rsidRPr="000A7465" w:rsidRDefault="003B1217" w:rsidP="003B1217">
            <w:pPr>
              <w:ind w:left="72"/>
              <w:rPr>
                <w:rFonts w:ascii="Times New Roman" w:hAnsi="Times New Roman" w:cs="Times New Roman"/>
                <w:sz w:val="18"/>
                <w:szCs w:val="18"/>
              </w:rPr>
            </w:pPr>
          </w:p>
          <w:p w14:paraId="1DACC4EF" w14:textId="09414BA5" w:rsidR="002259F7" w:rsidRPr="000A7465" w:rsidRDefault="002259F7" w:rsidP="002259F7">
            <w:pPr>
              <w:rPr>
                <w:rFonts w:ascii="Times New Roman" w:hAnsi="Times New Roman" w:cs="Times New Roman"/>
                <w:sz w:val="18"/>
                <w:szCs w:val="18"/>
                <w:lang w:val="en-AU"/>
              </w:rPr>
            </w:pPr>
            <w:r w:rsidRPr="000A7465">
              <w:rPr>
                <w:rFonts w:ascii="Times New Roman" w:hAnsi="Times New Roman" w:cs="Times New Roman"/>
                <w:b/>
                <w:sz w:val="18"/>
                <w:szCs w:val="18"/>
                <w:lang w:val="en-AU"/>
              </w:rPr>
              <w:t>Harmful events</w:t>
            </w:r>
            <w:r w:rsidRPr="000A7465">
              <w:rPr>
                <w:rFonts w:ascii="Times New Roman" w:hAnsi="Times New Roman" w:cs="Times New Roman"/>
                <w:sz w:val="18"/>
                <w:szCs w:val="18"/>
                <w:lang w:val="en-AU"/>
              </w:rPr>
              <w:t xml:space="preserve">: </w:t>
            </w:r>
            <w:r w:rsidR="00A144C8" w:rsidRPr="000A7465">
              <w:rPr>
                <w:rFonts w:ascii="Times New Roman" w:hAnsi="Times New Roman" w:cs="Times New Roman"/>
                <w:sz w:val="18"/>
                <w:szCs w:val="18"/>
                <w:lang w:val="en-AU"/>
              </w:rPr>
              <w:t>only one report of a “minor hamstring strain”</w:t>
            </w:r>
            <w:r w:rsidR="000A7465">
              <w:rPr>
                <w:rFonts w:ascii="Times New Roman" w:hAnsi="Times New Roman" w:cs="Times New Roman"/>
                <w:sz w:val="18"/>
                <w:szCs w:val="18"/>
                <w:lang w:val="en-AU"/>
              </w:rPr>
              <w:t xml:space="preserve"> sustained while performing the “</w:t>
            </w:r>
            <w:r w:rsidR="00A144C8" w:rsidRPr="000A7465">
              <w:rPr>
                <w:rFonts w:ascii="Times New Roman" w:hAnsi="Times New Roman" w:cs="Times New Roman"/>
                <w:sz w:val="18"/>
                <w:szCs w:val="18"/>
                <w:lang w:val="en-AU"/>
              </w:rPr>
              <w:t>11</w:t>
            </w:r>
            <w:r w:rsidR="001B1A6C" w:rsidRPr="000A7465">
              <w:rPr>
                <w:rFonts w:ascii="Times New Roman" w:hAnsi="Times New Roman" w:cs="Times New Roman"/>
                <w:sz w:val="18"/>
                <w:szCs w:val="18"/>
                <w:lang w:val="en-AU"/>
              </w:rPr>
              <w:t>”</w:t>
            </w:r>
            <w:r w:rsidR="00A144C8" w:rsidRPr="000A7465">
              <w:rPr>
                <w:rFonts w:ascii="Times New Roman" w:hAnsi="Times New Roman" w:cs="Times New Roman"/>
                <w:sz w:val="18"/>
                <w:szCs w:val="18"/>
                <w:lang w:val="en-AU"/>
              </w:rPr>
              <w:t xml:space="preserve"> IPP</w:t>
            </w:r>
          </w:p>
        </w:tc>
        <w:tc>
          <w:tcPr>
            <w:tcW w:w="3495" w:type="dxa"/>
          </w:tcPr>
          <w:p w14:paraId="46D5C97A" w14:textId="2AAFBC0C" w:rsidR="00A144C8" w:rsidRPr="000A7465" w:rsidRDefault="00A144C8" w:rsidP="00A144C8">
            <w:pPr>
              <w:rPr>
                <w:rFonts w:ascii="Times New Roman" w:hAnsi="Times New Roman" w:cs="Times New Roman"/>
                <w:sz w:val="18"/>
                <w:szCs w:val="18"/>
              </w:rPr>
            </w:pPr>
            <w:r w:rsidRPr="000A7465">
              <w:rPr>
                <w:rFonts w:ascii="Times New Roman" w:hAnsi="Times New Roman" w:cs="Times New Roman"/>
                <w:b/>
                <w:sz w:val="18"/>
                <w:szCs w:val="18"/>
              </w:rPr>
              <w:t xml:space="preserve">Conclusions: </w:t>
            </w:r>
            <w:r w:rsidR="000A7465">
              <w:rPr>
                <w:rFonts w:ascii="Times New Roman" w:hAnsi="Times New Roman" w:cs="Times New Roman"/>
                <w:sz w:val="18"/>
                <w:szCs w:val="18"/>
              </w:rPr>
              <w:t>the “</w:t>
            </w:r>
            <w:r w:rsidRPr="000A7465">
              <w:rPr>
                <w:rFonts w:ascii="Times New Roman" w:hAnsi="Times New Roman" w:cs="Times New Roman"/>
                <w:sz w:val="18"/>
                <w:szCs w:val="18"/>
              </w:rPr>
              <w:t>11+</w:t>
            </w:r>
            <w:r w:rsidR="001B1A6C" w:rsidRPr="000A7465">
              <w:rPr>
                <w:rFonts w:ascii="Times New Roman" w:hAnsi="Times New Roman" w:cs="Times New Roman"/>
                <w:sz w:val="18"/>
                <w:szCs w:val="18"/>
              </w:rPr>
              <w:t>”</w:t>
            </w:r>
            <w:r w:rsidRPr="000A7465">
              <w:rPr>
                <w:rFonts w:ascii="Times New Roman" w:hAnsi="Times New Roman" w:cs="Times New Roman"/>
                <w:sz w:val="18"/>
                <w:szCs w:val="18"/>
              </w:rPr>
              <w:t xml:space="preserve"> IPP can lead to a significant reduction in </w:t>
            </w:r>
            <w:r w:rsidR="001B1A6C" w:rsidRPr="000A7465">
              <w:rPr>
                <w:rFonts w:ascii="Times New Roman" w:hAnsi="Times New Roman" w:cs="Times New Roman"/>
                <w:sz w:val="18"/>
                <w:szCs w:val="18"/>
              </w:rPr>
              <w:t xml:space="preserve">soccer </w:t>
            </w:r>
            <w:r w:rsidRPr="000A7465">
              <w:rPr>
                <w:rFonts w:ascii="Times New Roman" w:hAnsi="Times New Roman" w:cs="Times New Roman"/>
                <w:sz w:val="18"/>
                <w:szCs w:val="18"/>
              </w:rPr>
              <w:t>injuries (39%, 9</w:t>
            </w:r>
            <w:r w:rsidR="001B1A6C" w:rsidRPr="000A7465">
              <w:rPr>
                <w:rFonts w:ascii="Times New Roman" w:hAnsi="Times New Roman" w:cs="Times New Roman"/>
                <w:sz w:val="18"/>
                <w:szCs w:val="18"/>
              </w:rPr>
              <w:t>5% CI 48%-77%) versus a control</w:t>
            </w:r>
            <w:r w:rsidRPr="000A7465">
              <w:rPr>
                <w:rFonts w:ascii="Times New Roman" w:hAnsi="Times New Roman" w:cs="Times New Roman"/>
                <w:sz w:val="18"/>
                <w:szCs w:val="18"/>
              </w:rPr>
              <w:t>. The result is clinically meaningful and</w:t>
            </w:r>
            <w:r w:rsidR="000A7465">
              <w:rPr>
                <w:rFonts w:ascii="Times New Roman" w:hAnsi="Times New Roman" w:cs="Times New Roman"/>
                <w:sz w:val="18"/>
                <w:szCs w:val="18"/>
              </w:rPr>
              <w:t xml:space="preserve"> supports the adaptation of the “</w:t>
            </w:r>
            <w:r w:rsidRPr="000A7465">
              <w:rPr>
                <w:rFonts w:ascii="Times New Roman" w:hAnsi="Times New Roman" w:cs="Times New Roman"/>
                <w:sz w:val="18"/>
                <w:szCs w:val="18"/>
              </w:rPr>
              <w:t>11+</w:t>
            </w:r>
            <w:r w:rsidR="000A7465">
              <w:rPr>
                <w:rFonts w:ascii="Times New Roman" w:hAnsi="Times New Roman" w:cs="Times New Roman"/>
                <w:sz w:val="18"/>
                <w:szCs w:val="18"/>
              </w:rPr>
              <w:t>”</w:t>
            </w:r>
            <w:r w:rsidRPr="000A7465">
              <w:rPr>
                <w:rFonts w:ascii="Times New Roman" w:hAnsi="Times New Roman" w:cs="Times New Roman"/>
                <w:sz w:val="18"/>
                <w:szCs w:val="18"/>
              </w:rPr>
              <w:t xml:space="preserve"> intervention program as a beneficial and potentially cost effective measure for the reduction of injuries.</w:t>
            </w:r>
          </w:p>
          <w:p w14:paraId="4984DC5A" w14:textId="77777777" w:rsidR="00AC2FF0" w:rsidRPr="000A7465" w:rsidRDefault="00AC2FF0">
            <w:pPr>
              <w:rPr>
                <w:rFonts w:ascii="Times New Roman" w:hAnsi="Times New Roman" w:cs="Times New Roman"/>
                <w:sz w:val="18"/>
                <w:szCs w:val="18"/>
              </w:rPr>
            </w:pPr>
          </w:p>
          <w:p w14:paraId="1C57EBCA" w14:textId="1E8E4485" w:rsidR="00A144C8" w:rsidRPr="000A7465" w:rsidRDefault="00A144C8" w:rsidP="00A144C8">
            <w:pPr>
              <w:rPr>
                <w:rFonts w:ascii="Times New Roman" w:hAnsi="Times New Roman" w:cs="Times New Roman"/>
                <w:sz w:val="18"/>
                <w:szCs w:val="18"/>
              </w:rPr>
            </w:pPr>
            <w:r w:rsidRPr="000A7465">
              <w:rPr>
                <w:rFonts w:ascii="Times New Roman" w:hAnsi="Times New Roman" w:cs="Times New Roman"/>
                <w:b/>
                <w:sz w:val="18"/>
                <w:szCs w:val="18"/>
              </w:rPr>
              <w:t>Limitations:</w:t>
            </w:r>
            <w:r w:rsidRPr="000A7465">
              <w:rPr>
                <w:rFonts w:ascii="Times New Roman" w:hAnsi="Times New Roman" w:cs="Times New Roman"/>
                <w:sz w:val="18"/>
                <w:szCs w:val="18"/>
              </w:rPr>
              <w:t xml:space="preserve"> No risk for publication bias assessment</w:t>
            </w:r>
          </w:p>
          <w:p w14:paraId="73FD5E99" w14:textId="5D335BB7" w:rsidR="00A144C8" w:rsidRPr="000A7465" w:rsidRDefault="001B1A6C" w:rsidP="00A144C8">
            <w:pPr>
              <w:pStyle w:val="ListParagraph"/>
              <w:numPr>
                <w:ilvl w:val="0"/>
                <w:numId w:val="10"/>
              </w:numPr>
              <w:rPr>
                <w:rFonts w:ascii="Times New Roman" w:hAnsi="Times New Roman" w:cs="Times New Roman"/>
                <w:sz w:val="18"/>
                <w:szCs w:val="18"/>
              </w:rPr>
            </w:pPr>
            <w:r w:rsidRPr="000A7465">
              <w:rPr>
                <w:rFonts w:ascii="Times New Roman" w:hAnsi="Times New Roman" w:cs="Times New Roman"/>
                <w:sz w:val="18"/>
                <w:szCs w:val="18"/>
              </w:rPr>
              <w:t xml:space="preserve">Lack of blinding </w:t>
            </w:r>
          </w:p>
          <w:p w14:paraId="5A2318F4" w14:textId="1ECBEB26" w:rsidR="00A144C8" w:rsidRPr="000A7465" w:rsidRDefault="00A144C8" w:rsidP="00A144C8">
            <w:pPr>
              <w:pStyle w:val="ListParagraph"/>
              <w:numPr>
                <w:ilvl w:val="0"/>
                <w:numId w:val="10"/>
              </w:numPr>
              <w:rPr>
                <w:rFonts w:ascii="Times New Roman" w:hAnsi="Times New Roman" w:cs="Times New Roman"/>
                <w:sz w:val="18"/>
                <w:szCs w:val="18"/>
              </w:rPr>
            </w:pPr>
            <w:r w:rsidRPr="000A7465">
              <w:rPr>
                <w:rFonts w:ascii="Times New Roman" w:hAnsi="Times New Roman" w:cs="Times New Roman"/>
                <w:sz w:val="18"/>
                <w:szCs w:val="18"/>
                <w:lang w:val="en-AU"/>
              </w:rPr>
              <w:t>3 of the 6 included studies had</w:t>
            </w:r>
            <w:r w:rsidR="001B1A6C" w:rsidRPr="000A7465">
              <w:rPr>
                <w:rFonts w:ascii="Times New Roman" w:hAnsi="Times New Roman" w:cs="Times New Roman"/>
                <w:sz w:val="18"/>
                <w:szCs w:val="18"/>
                <w:lang w:val="en-AU"/>
              </w:rPr>
              <w:t xml:space="preserve"> a high risk</w:t>
            </w:r>
            <w:r w:rsidRPr="000A7465">
              <w:rPr>
                <w:rFonts w:ascii="Times New Roman" w:hAnsi="Times New Roman" w:cs="Times New Roman"/>
                <w:sz w:val="18"/>
                <w:szCs w:val="18"/>
                <w:lang w:val="en-AU"/>
              </w:rPr>
              <w:t xml:space="preserve"> of attrition bias </w:t>
            </w:r>
            <w:r w:rsidR="001B1A6C" w:rsidRPr="000A7465">
              <w:rPr>
                <w:rFonts w:ascii="Times New Roman" w:hAnsi="Times New Roman" w:cs="Times New Roman"/>
                <w:sz w:val="18"/>
                <w:szCs w:val="18"/>
                <w:lang w:val="en-AU"/>
              </w:rPr>
              <w:t>with</w:t>
            </w:r>
            <w:r w:rsidRPr="000A7465">
              <w:rPr>
                <w:rFonts w:ascii="Times New Roman" w:hAnsi="Times New Roman" w:cs="Times New Roman"/>
                <w:sz w:val="18"/>
                <w:szCs w:val="18"/>
                <w:lang w:val="en-AU"/>
              </w:rPr>
              <w:t xml:space="preserve"> missing outcome data.</w:t>
            </w:r>
          </w:p>
          <w:p w14:paraId="00013CB1" w14:textId="77777777" w:rsidR="001B1A6C" w:rsidRPr="000A7465" w:rsidRDefault="00A144C8" w:rsidP="00A144C8">
            <w:pPr>
              <w:pStyle w:val="ListParagraph"/>
              <w:numPr>
                <w:ilvl w:val="0"/>
                <w:numId w:val="10"/>
              </w:numPr>
              <w:rPr>
                <w:rFonts w:ascii="Times New Roman" w:hAnsi="Times New Roman" w:cs="Times New Roman"/>
                <w:sz w:val="18"/>
                <w:szCs w:val="18"/>
              </w:rPr>
            </w:pPr>
            <w:r w:rsidRPr="000A7465">
              <w:rPr>
                <w:rFonts w:ascii="Times New Roman" w:hAnsi="Times New Roman" w:cs="Times New Roman"/>
                <w:sz w:val="18"/>
                <w:szCs w:val="18"/>
                <w:lang w:val="en-AU"/>
              </w:rPr>
              <w:t>Inconsistent dosage and compliance</w:t>
            </w:r>
            <w:r w:rsidR="001B1A6C" w:rsidRPr="000A7465">
              <w:rPr>
                <w:rFonts w:ascii="Times New Roman" w:hAnsi="Times New Roman" w:cs="Times New Roman"/>
                <w:sz w:val="18"/>
                <w:szCs w:val="18"/>
                <w:lang w:val="en-AU"/>
              </w:rPr>
              <w:t xml:space="preserve"> </w:t>
            </w:r>
          </w:p>
          <w:p w14:paraId="0F812EC5" w14:textId="4FDD8341" w:rsidR="00A144C8" w:rsidRPr="000A7465" w:rsidRDefault="00A144C8" w:rsidP="00A144C8">
            <w:pPr>
              <w:pStyle w:val="ListParagraph"/>
              <w:numPr>
                <w:ilvl w:val="0"/>
                <w:numId w:val="10"/>
              </w:numPr>
              <w:rPr>
                <w:rFonts w:ascii="Times New Roman" w:hAnsi="Times New Roman" w:cs="Times New Roman"/>
                <w:sz w:val="18"/>
                <w:szCs w:val="18"/>
              </w:rPr>
            </w:pPr>
            <w:r w:rsidRPr="000A7465">
              <w:rPr>
                <w:rFonts w:ascii="Times New Roman" w:hAnsi="Times New Roman" w:cs="Times New Roman"/>
                <w:sz w:val="18"/>
                <w:szCs w:val="18"/>
                <w:lang w:val="en-AU"/>
              </w:rPr>
              <w:t xml:space="preserve">variable duration of intervention </w:t>
            </w:r>
          </w:p>
          <w:p w14:paraId="3BC601CB" w14:textId="02E3B725" w:rsidR="00A144C8" w:rsidRPr="000A7465" w:rsidRDefault="00A144C8" w:rsidP="00A144C8">
            <w:pPr>
              <w:pStyle w:val="ListParagraph"/>
              <w:numPr>
                <w:ilvl w:val="0"/>
                <w:numId w:val="10"/>
              </w:numPr>
              <w:rPr>
                <w:rFonts w:ascii="Times New Roman" w:hAnsi="Times New Roman" w:cs="Times New Roman"/>
                <w:sz w:val="18"/>
                <w:szCs w:val="18"/>
              </w:rPr>
            </w:pPr>
            <w:r w:rsidRPr="000A7465">
              <w:rPr>
                <w:rFonts w:ascii="Times New Roman" w:hAnsi="Times New Roman" w:cs="Times New Roman"/>
                <w:sz w:val="18"/>
                <w:szCs w:val="18"/>
                <w:lang w:val="en-AU"/>
              </w:rPr>
              <w:t>lack of a heterogeneous definition of what constitutes an injury among the studies</w:t>
            </w:r>
          </w:p>
          <w:p w14:paraId="168E1D5F" w14:textId="77777777" w:rsidR="00A144C8" w:rsidRPr="000A7465" w:rsidRDefault="00A144C8">
            <w:pPr>
              <w:rPr>
                <w:rFonts w:ascii="Times New Roman" w:hAnsi="Times New Roman" w:cs="Times New Roman"/>
                <w:b/>
                <w:sz w:val="18"/>
                <w:szCs w:val="18"/>
              </w:rPr>
            </w:pPr>
          </w:p>
          <w:p w14:paraId="5138E7AC" w14:textId="77777777" w:rsidR="00A144C8" w:rsidRPr="000A7465" w:rsidRDefault="00A144C8">
            <w:pPr>
              <w:rPr>
                <w:rFonts w:ascii="Times New Roman" w:hAnsi="Times New Roman" w:cs="Times New Roman"/>
                <w:sz w:val="18"/>
                <w:szCs w:val="18"/>
              </w:rPr>
            </w:pPr>
            <w:r w:rsidRPr="000A7465">
              <w:rPr>
                <w:rFonts w:ascii="Times New Roman" w:hAnsi="Times New Roman" w:cs="Times New Roman"/>
                <w:b/>
                <w:sz w:val="18"/>
                <w:szCs w:val="18"/>
              </w:rPr>
              <w:t>Strengths</w:t>
            </w:r>
            <w:r w:rsidRPr="000A7465">
              <w:rPr>
                <w:rFonts w:ascii="Times New Roman" w:hAnsi="Times New Roman" w:cs="Times New Roman"/>
                <w:sz w:val="18"/>
                <w:szCs w:val="18"/>
              </w:rPr>
              <w:t xml:space="preserve">: </w:t>
            </w:r>
          </w:p>
          <w:p w14:paraId="34D83A96" w14:textId="77777777" w:rsidR="00A144C8" w:rsidRPr="000A7465" w:rsidRDefault="00A144C8" w:rsidP="00A144C8">
            <w:pPr>
              <w:pStyle w:val="ListParagraph"/>
              <w:numPr>
                <w:ilvl w:val="0"/>
                <w:numId w:val="10"/>
              </w:numPr>
              <w:rPr>
                <w:rFonts w:ascii="Times New Roman" w:hAnsi="Times New Roman" w:cs="Times New Roman"/>
                <w:sz w:val="18"/>
                <w:szCs w:val="18"/>
              </w:rPr>
            </w:pPr>
            <w:r w:rsidRPr="000A7465">
              <w:rPr>
                <w:rFonts w:ascii="Times New Roman" w:hAnsi="Times New Roman" w:cs="Times New Roman"/>
                <w:sz w:val="18"/>
                <w:szCs w:val="18"/>
              </w:rPr>
              <w:t>High quality evidence</w:t>
            </w:r>
          </w:p>
          <w:p w14:paraId="1CE1B256" w14:textId="77777777" w:rsidR="00A144C8" w:rsidRPr="000A7465" w:rsidRDefault="00A144C8" w:rsidP="00A144C8">
            <w:pPr>
              <w:pStyle w:val="ListParagraph"/>
              <w:numPr>
                <w:ilvl w:val="0"/>
                <w:numId w:val="10"/>
              </w:numPr>
              <w:rPr>
                <w:rFonts w:ascii="Times New Roman" w:hAnsi="Times New Roman" w:cs="Times New Roman"/>
                <w:sz w:val="18"/>
                <w:szCs w:val="18"/>
              </w:rPr>
            </w:pPr>
            <w:r w:rsidRPr="000A7465">
              <w:rPr>
                <w:rFonts w:ascii="Times New Roman" w:hAnsi="Times New Roman" w:cs="Times New Roman"/>
                <w:sz w:val="18"/>
                <w:szCs w:val="18"/>
              </w:rPr>
              <w:t>Risk for bias assessment included</w:t>
            </w:r>
          </w:p>
          <w:p w14:paraId="2791C34F" w14:textId="77777777" w:rsidR="00A144C8" w:rsidRPr="000A7465" w:rsidRDefault="00A144C8" w:rsidP="00A144C8">
            <w:pPr>
              <w:pStyle w:val="ListParagraph"/>
              <w:numPr>
                <w:ilvl w:val="0"/>
                <w:numId w:val="10"/>
              </w:numPr>
              <w:rPr>
                <w:rFonts w:ascii="Times New Roman" w:hAnsi="Times New Roman" w:cs="Times New Roman"/>
                <w:sz w:val="18"/>
                <w:szCs w:val="18"/>
              </w:rPr>
            </w:pPr>
            <w:r w:rsidRPr="000A7465">
              <w:rPr>
                <w:rFonts w:ascii="Times New Roman" w:hAnsi="Times New Roman" w:cs="Times New Roman"/>
                <w:sz w:val="18"/>
                <w:szCs w:val="18"/>
              </w:rPr>
              <w:t>Large sample size</w:t>
            </w:r>
          </w:p>
          <w:p w14:paraId="080BC557" w14:textId="30343457" w:rsidR="00A144C8" w:rsidRPr="000A7465" w:rsidRDefault="00A144C8" w:rsidP="001B1A6C">
            <w:pPr>
              <w:pStyle w:val="ListParagraph"/>
              <w:numPr>
                <w:ilvl w:val="0"/>
                <w:numId w:val="10"/>
              </w:numPr>
              <w:rPr>
                <w:rFonts w:ascii="Times New Roman" w:hAnsi="Times New Roman" w:cs="Times New Roman"/>
                <w:sz w:val="18"/>
                <w:szCs w:val="18"/>
              </w:rPr>
            </w:pPr>
            <w:r w:rsidRPr="000A7465">
              <w:rPr>
                <w:rFonts w:ascii="Times New Roman" w:hAnsi="Times New Roman" w:cs="Times New Roman"/>
                <w:sz w:val="18"/>
                <w:szCs w:val="18"/>
                <w:lang w:val="en-AU"/>
              </w:rPr>
              <w:t>Evaluated injury r</w:t>
            </w:r>
            <w:r w:rsidR="001B1A6C" w:rsidRPr="000A7465">
              <w:rPr>
                <w:rFonts w:ascii="Times New Roman" w:hAnsi="Times New Roman" w:cs="Times New Roman"/>
                <w:sz w:val="18"/>
                <w:szCs w:val="18"/>
                <w:lang w:val="en-AU"/>
              </w:rPr>
              <w:t>ates in terms of 1,000 exposure</w:t>
            </w:r>
            <w:r w:rsidRPr="000A7465">
              <w:rPr>
                <w:rFonts w:ascii="Times New Roman" w:hAnsi="Times New Roman" w:cs="Times New Roman"/>
                <w:sz w:val="18"/>
                <w:szCs w:val="18"/>
                <w:lang w:val="en-AU"/>
              </w:rPr>
              <w:t xml:space="preserve"> to help standardize the results and minimize impact of variable training and game loads on the outcome</w:t>
            </w:r>
          </w:p>
        </w:tc>
      </w:tr>
      <w:tr w:rsidR="00FD3429" w:rsidRPr="000A7465" w14:paraId="38E1CBEC" w14:textId="77777777" w:rsidTr="00C609F5">
        <w:trPr>
          <w:gridBefore w:val="1"/>
          <w:gridAfter w:val="1"/>
          <w:wBefore w:w="365" w:type="dxa"/>
          <w:wAfter w:w="270" w:type="dxa"/>
          <w:trHeight w:val="3482"/>
        </w:trPr>
        <w:tc>
          <w:tcPr>
            <w:tcW w:w="1936" w:type="dxa"/>
          </w:tcPr>
          <w:p w14:paraId="67B98062" w14:textId="1606FA44" w:rsidR="00AC2FF0" w:rsidRPr="000A7465" w:rsidRDefault="00AC2FF0" w:rsidP="008B118C">
            <w:pPr>
              <w:rPr>
                <w:rFonts w:ascii="Times New Roman" w:hAnsi="Times New Roman" w:cs="Times New Roman"/>
                <w:sz w:val="18"/>
                <w:szCs w:val="18"/>
              </w:rPr>
            </w:pPr>
            <w:r w:rsidRPr="000A7465">
              <w:rPr>
                <w:rFonts w:ascii="Times New Roman" w:hAnsi="Times New Roman" w:cs="Times New Roman"/>
                <w:b/>
                <w:sz w:val="18"/>
                <w:szCs w:val="18"/>
              </w:rPr>
              <w:t>Author/Year</w:t>
            </w:r>
            <w:r w:rsidRPr="000A7465">
              <w:rPr>
                <w:rFonts w:ascii="Times New Roman" w:hAnsi="Times New Roman" w:cs="Times New Roman"/>
                <w:sz w:val="18"/>
                <w:szCs w:val="18"/>
              </w:rPr>
              <w:t xml:space="preserve">: </w:t>
            </w:r>
            <w:proofErr w:type="spellStart"/>
            <w:r w:rsidRPr="000A7465">
              <w:rPr>
                <w:rFonts w:ascii="Times New Roman" w:hAnsi="Times New Roman" w:cs="Times New Roman"/>
                <w:sz w:val="18"/>
                <w:szCs w:val="18"/>
              </w:rPr>
              <w:t>Sadigursky</w:t>
            </w:r>
            <w:proofErr w:type="spellEnd"/>
            <w:r w:rsidRPr="000A7465">
              <w:rPr>
                <w:rFonts w:ascii="Times New Roman" w:hAnsi="Times New Roman" w:cs="Times New Roman"/>
                <w:sz w:val="18"/>
                <w:szCs w:val="18"/>
              </w:rPr>
              <w:t xml:space="preserve"> (2017)</w:t>
            </w:r>
            <w:r w:rsidRPr="000A7465">
              <w:rPr>
                <w:rFonts w:ascii="Times New Roman" w:hAnsi="Times New Roman" w:cs="Times New Roman"/>
                <w:sz w:val="18"/>
                <w:szCs w:val="18"/>
              </w:rPr>
              <w:fldChar w:fldCharType="begin"/>
            </w:r>
            <w:r w:rsidR="009D18FB" w:rsidRPr="000A7465">
              <w:rPr>
                <w:rFonts w:ascii="Times New Roman" w:hAnsi="Times New Roman" w:cs="Times New Roman"/>
                <w:sz w:val="18"/>
                <w:szCs w:val="18"/>
              </w:rPr>
              <w:instrText>ADDIN F1000_CSL_CITATION&lt;~#@#~&gt;[{"DOI":"10.1186/s13102-017-0083-z","First":false,"Last":false,"PMCID":"PMC5704377","PMID":"29209504","abstract":"&lt;strong&gt;Background:&lt;/strong&gt; Soccer is one of the most widely played sports in the world. However, soccer players have an increased risk of lower limb injury. These injuries may be caused by both modifiable and non-modifiable factors, justifying the adoption of an injury prevention program such as the Fédération Internationale de Football Association (FIFA) 11+. The purpose of this study was to evaluate the efficacy of the FIFA 11+ injury prevention program for soccer players.&lt;br&gt;&lt;br&gt;&lt;strong&gt;Methodology:&lt;/strong&gt; This meta-analysis was based on the PRISMA 2015 protocol. A search using the keywords \"FIFA,\" \"injury prevention,\" and \"football\" found 183 articles in the PubMed, MEDLINE, LILACS, SciELO, and ScienceDirect databases. Of these, 6 studies were selected, all of which were randomized clinical trials.&lt;br&gt;&lt;br&gt;&lt;strong&gt;Results:&lt;/strong&gt; The sample consisted of 6,344 players, comprising 3,307 (52%) in the intervention group and 3,037 (48%) in the control group. The FIFA 11+ program reduced injuries in soccer players by 30%, with an estimated relative risk of 0.70 (95% confidence interval, 0.52-0.93, p = 0.01). In the intervention group, 779 (24%) players had injuries, while in the control group, 1,219 (40%) players had injuries. However, this pattern was not homogeneous throughout the studies because of clinical and methodological differences in the samples. This study showed no publication bias.&lt;br&gt;&lt;br&gt;&lt;strong&gt;Conclusion:&lt;/strong&gt; The FIFA 11+ warm-up program reduced the risk of injury in soccer players by 30%.","author":[{"family":"Sadigursky","given":"David"},{"family":"Braid","given":"Juliana Almeida"},{"family":"De Lira","given":"Diogo Neiva Lemos"},{"family":"Machado","given":"Bruno Almeida Barreto"},{"family":"Carneiro","given":"Rogério Jamil Fernandes"},{"family":"Colavolpe","given":"Paulo Oliveira"}],"citation-label":"5824177","container-title":"BMC sports science, medicine and rehabilitation","container-title-short":"BMC Sports Sci. Med. Rehabil.","id":"5824177","invisible":false,"issued":{"date-parts":[["2017","11","28"]]},"journalAbbreviation":"BMC Sports Sci. Med. Rehabil.","page":"18","suppress-author":false,"title":"The FIFA 11+ injury prevention program for soccer players: a systematic review.","type":"article-journal","volume":"9"}]</w:instrText>
            </w:r>
            <w:r w:rsidRPr="000A7465">
              <w:rPr>
                <w:rFonts w:ascii="Times New Roman" w:hAnsi="Times New Roman" w:cs="Times New Roman"/>
                <w:sz w:val="18"/>
                <w:szCs w:val="18"/>
              </w:rPr>
              <w:fldChar w:fldCharType="separate"/>
            </w:r>
            <w:r w:rsidR="00502F90" w:rsidRPr="000A7465">
              <w:rPr>
                <w:rFonts w:ascii="Times New Roman" w:hAnsi="Times New Roman" w:cs="Times New Roman"/>
                <w:noProof/>
                <w:sz w:val="18"/>
                <w:szCs w:val="18"/>
                <w:vertAlign w:val="superscript"/>
              </w:rPr>
              <w:t>4</w:t>
            </w:r>
            <w:r w:rsidRPr="000A7465">
              <w:rPr>
                <w:rFonts w:ascii="Times New Roman" w:hAnsi="Times New Roman" w:cs="Times New Roman"/>
                <w:sz w:val="18"/>
                <w:szCs w:val="18"/>
              </w:rPr>
              <w:fldChar w:fldCharType="end"/>
            </w:r>
          </w:p>
          <w:p w14:paraId="527F22C4" w14:textId="77777777" w:rsidR="00AC2FF0" w:rsidRPr="000A7465" w:rsidRDefault="00AC2FF0" w:rsidP="008B118C">
            <w:pPr>
              <w:rPr>
                <w:rFonts w:ascii="Times New Roman" w:hAnsi="Times New Roman" w:cs="Times New Roman"/>
                <w:sz w:val="18"/>
                <w:szCs w:val="18"/>
              </w:rPr>
            </w:pPr>
          </w:p>
          <w:p w14:paraId="72659A02" w14:textId="485CEC62" w:rsidR="00AC2FF0" w:rsidRPr="000A7465" w:rsidRDefault="00AC2FF0" w:rsidP="008B118C">
            <w:pPr>
              <w:rPr>
                <w:rFonts w:ascii="Times New Roman" w:hAnsi="Times New Roman" w:cs="Times New Roman"/>
                <w:sz w:val="18"/>
                <w:szCs w:val="18"/>
              </w:rPr>
            </w:pPr>
            <w:r w:rsidRPr="000A7465">
              <w:rPr>
                <w:rFonts w:ascii="Times New Roman" w:hAnsi="Times New Roman" w:cs="Times New Roman"/>
                <w:b/>
                <w:sz w:val="18"/>
                <w:szCs w:val="18"/>
              </w:rPr>
              <w:t>Study Design</w:t>
            </w:r>
            <w:r w:rsidRPr="000A7465">
              <w:rPr>
                <w:rFonts w:ascii="Times New Roman" w:hAnsi="Times New Roman" w:cs="Times New Roman"/>
                <w:sz w:val="18"/>
                <w:szCs w:val="18"/>
              </w:rPr>
              <w:t xml:space="preserve">: systematic </w:t>
            </w:r>
            <w:r w:rsidR="00082B0E" w:rsidRPr="000A7465">
              <w:rPr>
                <w:rFonts w:ascii="Times New Roman" w:hAnsi="Times New Roman" w:cs="Times New Roman"/>
                <w:sz w:val="18"/>
                <w:szCs w:val="18"/>
              </w:rPr>
              <w:t>review</w:t>
            </w:r>
          </w:p>
          <w:p w14:paraId="3ED232A4" w14:textId="77777777" w:rsidR="00AC2FF0" w:rsidRPr="000A7465" w:rsidRDefault="00AC2FF0" w:rsidP="008B118C">
            <w:pPr>
              <w:rPr>
                <w:rFonts w:ascii="Times New Roman" w:hAnsi="Times New Roman" w:cs="Times New Roman"/>
                <w:sz w:val="18"/>
                <w:szCs w:val="18"/>
              </w:rPr>
            </w:pPr>
          </w:p>
          <w:p w14:paraId="20ED976B" w14:textId="77777777" w:rsidR="00AC2FF0" w:rsidRPr="000A7465" w:rsidRDefault="00AC2FF0" w:rsidP="008B118C">
            <w:pPr>
              <w:rPr>
                <w:rFonts w:ascii="Times New Roman" w:hAnsi="Times New Roman" w:cs="Times New Roman"/>
                <w:sz w:val="18"/>
                <w:szCs w:val="18"/>
              </w:rPr>
            </w:pPr>
            <w:r w:rsidRPr="000A7465">
              <w:rPr>
                <w:rFonts w:ascii="Times New Roman" w:hAnsi="Times New Roman" w:cs="Times New Roman"/>
                <w:b/>
                <w:sz w:val="18"/>
                <w:szCs w:val="18"/>
              </w:rPr>
              <w:t>Level of evidence</w:t>
            </w:r>
            <w:r w:rsidRPr="000A7465">
              <w:rPr>
                <w:rFonts w:ascii="Times New Roman" w:hAnsi="Times New Roman" w:cs="Times New Roman"/>
                <w:sz w:val="18"/>
                <w:szCs w:val="18"/>
              </w:rPr>
              <w:t xml:space="preserve">: 1a </w:t>
            </w:r>
          </w:p>
          <w:p w14:paraId="55D6B58B" w14:textId="77777777" w:rsidR="00AC2FF0" w:rsidRPr="000A7465" w:rsidRDefault="00AC2FF0" w:rsidP="008B118C">
            <w:pPr>
              <w:rPr>
                <w:rFonts w:ascii="Times New Roman" w:hAnsi="Times New Roman" w:cs="Times New Roman"/>
                <w:sz w:val="18"/>
                <w:szCs w:val="18"/>
              </w:rPr>
            </w:pPr>
          </w:p>
          <w:p w14:paraId="28FF6EE3" w14:textId="77777777" w:rsidR="00AC2FF0" w:rsidRPr="000A7465" w:rsidRDefault="00AC2FF0" w:rsidP="00EC58B5">
            <w:pPr>
              <w:rPr>
                <w:rFonts w:ascii="Times New Roman" w:hAnsi="Times New Roman" w:cs="Times New Roman"/>
                <w:sz w:val="18"/>
                <w:szCs w:val="18"/>
              </w:rPr>
            </w:pPr>
            <w:r w:rsidRPr="000A7465">
              <w:rPr>
                <w:rFonts w:ascii="Times New Roman" w:hAnsi="Times New Roman" w:cs="Times New Roman"/>
                <w:b/>
                <w:sz w:val="18"/>
                <w:szCs w:val="18"/>
              </w:rPr>
              <w:t>Risk of bias</w:t>
            </w:r>
            <w:r w:rsidRPr="000A7465">
              <w:rPr>
                <w:rFonts w:ascii="Times New Roman" w:hAnsi="Times New Roman" w:cs="Times New Roman"/>
                <w:sz w:val="18"/>
                <w:szCs w:val="18"/>
              </w:rPr>
              <w:t>: 6/11 AMSTAR)</w:t>
            </w:r>
          </w:p>
        </w:tc>
        <w:tc>
          <w:tcPr>
            <w:tcW w:w="4380" w:type="dxa"/>
          </w:tcPr>
          <w:p w14:paraId="2E36EDA8" w14:textId="77777777" w:rsidR="00082B0E" w:rsidRPr="000A7465" w:rsidRDefault="00082B0E" w:rsidP="00082B0E">
            <w:pPr>
              <w:rPr>
                <w:rFonts w:ascii="Times New Roman" w:hAnsi="Times New Roman" w:cs="Times New Roman"/>
                <w:sz w:val="18"/>
                <w:szCs w:val="18"/>
              </w:rPr>
            </w:pPr>
            <w:r w:rsidRPr="000A7465">
              <w:rPr>
                <w:rFonts w:ascii="Times New Roman" w:hAnsi="Times New Roman" w:cs="Times New Roman"/>
                <w:b/>
                <w:sz w:val="18"/>
                <w:szCs w:val="18"/>
              </w:rPr>
              <w:t>Included Studies Criteria</w:t>
            </w:r>
          </w:p>
          <w:p w14:paraId="0C482232" w14:textId="54DB83D1" w:rsidR="00082B0E" w:rsidRPr="000A7465" w:rsidRDefault="00082B0E" w:rsidP="00082B0E">
            <w:pPr>
              <w:pStyle w:val="ListParagraph"/>
              <w:numPr>
                <w:ilvl w:val="0"/>
                <w:numId w:val="2"/>
              </w:numPr>
              <w:rPr>
                <w:rFonts w:ascii="Times New Roman" w:hAnsi="Times New Roman" w:cs="Times New Roman"/>
                <w:sz w:val="18"/>
                <w:szCs w:val="18"/>
              </w:rPr>
            </w:pPr>
            <w:r w:rsidRPr="000A7465">
              <w:rPr>
                <w:rFonts w:ascii="Times New Roman" w:hAnsi="Times New Roman" w:cs="Times New Roman"/>
                <w:sz w:val="18"/>
                <w:szCs w:val="18"/>
              </w:rPr>
              <w:t>R</w:t>
            </w:r>
            <w:r w:rsidR="00C776A4" w:rsidRPr="000A7465">
              <w:rPr>
                <w:rFonts w:ascii="Times New Roman" w:hAnsi="Times New Roman" w:cs="Times New Roman"/>
                <w:sz w:val="18"/>
                <w:szCs w:val="18"/>
              </w:rPr>
              <w:t>andomized contro</w:t>
            </w:r>
            <w:r w:rsidR="00593ADA" w:rsidRPr="000A7465">
              <w:rPr>
                <w:rFonts w:ascii="Times New Roman" w:hAnsi="Times New Roman" w:cs="Times New Roman"/>
                <w:sz w:val="18"/>
                <w:szCs w:val="18"/>
              </w:rPr>
              <w:t>l</w:t>
            </w:r>
            <w:r w:rsidR="00C776A4" w:rsidRPr="000A7465">
              <w:rPr>
                <w:rFonts w:ascii="Times New Roman" w:hAnsi="Times New Roman" w:cs="Times New Roman"/>
                <w:sz w:val="18"/>
                <w:szCs w:val="18"/>
              </w:rPr>
              <w:t>l</w:t>
            </w:r>
            <w:r w:rsidR="00593ADA" w:rsidRPr="000A7465">
              <w:rPr>
                <w:rFonts w:ascii="Times New Roman" w:hAnsi="Times New Roman" w:cs="Times New Roman"/>
                <w:sz w:val="18"/>
                <w:szCs w:val="18"/>
              </w:rPr>
              <w:t>ed</w:t>
            </w:r>
            <w:r w:rsidR="00C776A4" w:rsidRPr="000A7465">
              <w:rPr>
                <w:rFonts w:ascii="Times New Roman" w:hAnsi="Times New Roman" w:cs="Times New Roman"/>
                <w:sz w:val="18"/>
                <w:szCs w:val="18"/>
              </w:rPr>
              <w:t xml:space="preserve"> trials</w:t>
            </w:r>
            <w:r w:rsidRPr="000A7465">
              <w:rPr>
                <w:rFonts w:ascii="Times New Roman" w:hAnsi="Times New Roman" w:cs="Times New Roman"/>
                <w:sz w:val="18"/>
                <w:szCs w:val="18"/>
              </w:rPr>
              <w:t xml:space="preserve"> </w:t>
            </w:r>
          </w:p>
          <w:p w14:paraId="46549BAD" w14:textId="0E0C716A" w:rsidR="00082B0E" w:rsidRPr="000A7465" w:rsidRDefault="00C776A4" w:rsidP="00082B0E">
            <w:pPr>
              <w:pStyle w:val="ListParagraph"/>
              <w:numPr>
                <w:ilvl w:val="0"/>
                <w:numId w:val="2"/>
              </w:numPr>
              <w:rPr>
                <w:rFonts w:ascii="Times New Roman" w:hAnsi="Times New Roman" w:cs="Times New Roman"/>
                <w:sz w:val="18"/>
                <w:szCs w:val="18"/>
              </w:rPr>
            </w:pPr>
            <w:r w:rsidRPr="000A7465">
              <w:rPr>
                <w:rFonts w:ascii="Times New Roman" w:hAnsi="Times New Roman" w:cs="Times New Roman"/>
                <w:sz w:val="18"/>
                <w:szCs w:val="18"/>
              </w:rPr>
              <w:t>Analyzed</w:t>
            </w:r>
            <w:r w:rsidR="00593ADA" w:rsidRPr="000A7465">
              <w:rPr>
                <w:rFonts w:ascii="Times New Roman" w:hAnsi="Times New Roman" w:cs="Times New Roman"/>
                <w:sz w:val="18"/>
                <w:szCs w:val="18"/>
              </w:rPr>
              <w:t xml:space="preserve"> the</w:t>
            </w:r>
            <w:r w:rsidRPr="000A7465">
              <w:rPr>
                <w:rFonts w:ascii="Times New Roman" w:hAnsi="Times New Roman" w:cs="Times New Roman"/>
                <w:sz w:val="18"/>
                <w:szCs w:val="18"/>
              </w:rPr>
              <w:t xml:space="preserve"> impact </w:t>
            </w:r>
            <w:r w:rsidR="000569BE">
              <w:rPr>
                <w:rFonts w:ascii="Times New Roman" w:hAnsi="Times New Roman" w:cs="Times New Roman"/>
                <w:sz w:val="18"/>
                <w:szCs w:val="18"/>
              </w:rPr>
              <w:t xml:space="preserve">of </w:t>
            </w:r>
            <w:r w:rsidR="000A7465">
              <w:rPr>
                <w:rFonts w:ascii="Times New Roman" w:hAnsi="Times New Roman" w:cs="Times New Roman"/>
                <w:sz w:val="18"/>
                <w:szCs w:val="18"/>
              </w:rPr>
              <w:t>the “</w:t>
            </w:r>
            <w:r w:rsidR="00082B0E" w:rsidRPr="000A7465">
              <w:rPr>
                <w:rFonts w:ascii="Times New Roman" w:hAnsi="Times New Roman" w:cs="Times New Roman"/>
                <w:sz w:val="18"/>
                <w:szCs w:val="18"/>
              </w:rPr>
              <w:t>11+</w:t>
            </w:r>
            <w:r w:rsidR="00593ADA" w:rsidRPr="000A7465">
              <w:rPr>
                <w:rFonts w:ascii="Times New Roman" w:hAnsi="Times New Roman" w:cs="Times New Roman"/>
                <w:sz w:val="18"/>
                <w:szCs w:val="18"/>
              </w:rPr>
              <w:t>”</w:t>
            </w:r>
            <w:r w:rsidR="00082B0E" w:rsidRPr="000A7465">
              <w:rPr>
                <w:rFonts w:ascii="Times New Roman" w:hAnsi="Times New Roman" w:cs="Times New Roman"/>
                <w:sz w:val="18"/>
                <w:szCs w:val="18"/>
              </w:rPr>
              <w:t xml:space="preserve"> </w:t>
            </w:r>
            <w:r w:rsidRPr="000A7465">
              <w:rPr>
                <w:rFonts w:ascii="Times New Roman" w:hAnsi="Times New Roman" w:cs="Times New Roman"/>
                <w:sz w:val="18"/>
                <w:szCs w:val="18"/>
              </w:rPr>
              <w:t>IPP on injury prevention</w:t>
            </w:r>
          </w:p>
          <w:p w14:paraId="12B15976" w14:textId="38C1CCFF" w:rsidR="00C776A4" w:rsidRPr="000A7465" w:rsidRDefault="00C776A4" w:rsidP="00082B0E">
            <w:pPr>
              <w:pStyle w:val="ListParagraph"/>
              <w:numPr>
                <w:ilvl w:val="0"/>
                <w:numId w:val="2"/>
              </w:numPr>
              <w:rPr>
                <w:rFonts w:ascii="Times New Roman" w:hAnsi="Times New Roman" w:cs="Times New Roman"/>
                <w:sz w:val="18"/>
                <w:szCs w:val="18"/>
              </w:rPr>
            </w:pPr>
            <w:r w:rsidRPr="000A7465">
              <w:rPr>
                <w:rFonts w:ascii="Times New Roman" w:hAnsi="Times New Roman" w:cs="Times New Roman"/>
                <w:sz w:val="18"/>
                <w:szCs w:val="18"/>
              </w:rPr>
              <w:t>Published between 2006 and 2016</w:t>
            </w:r>
          </w:p>
          <w:p w14:paraId="36E50893" w14:textId="0F95BB64" w:rsidR="00082B0E" w:rsidRPr="000A7465" w:rsidRDefault="00082B0E" w:rsidP="00082B0E">
            <w:pPr>
              <w:pStyle w:val="ListParagraph"/>
              <w:numPr>
                <w:ilvl w:val="0"/>
                <w:numId w:val="2"/>
              </w:numPr>
              <w:rPr>
                <w:rFonts w:ascii="Times New Roman" w:hAnsi="Times New Roman" w:cs="Times New Roman"/>
                <w:sz w:val="18"/>
                <w:szCs w:val="18"/>
              </w:rPr>
            </w:pPr>
            <w:r w:rsidRPr="000A7465">
              <w:rPr>
                <w:rFonts w:ascii="Times New Roman" w:hAnsi="Times New Roman" w:cs="Times New Roman"/>
                <w:sz w:val="18"/>
                <w:szCs w:val="18"/>
              </w:rPr>
              <w:t xml:space="preserve">Soccer players </w:t>
            </w:r>
            <w:r w:rsidR="00C776A4" w:rsidRPr="000A7465">
              <w:rPr>
                <w:rFonts w:ascii="Times New Roman" w:hAnsi="Times New Roman" w:cs="Times New Roman"/>
                <w:sz w:val="18"/>
                <w:szCs w:val="18"/>
              </w:rPr>
              <w:t>over the age of 13</w:t>
            </w:r>
          </w:p>
          <w:p w14:paraId="0B86C93F" w14:textId="77777777" w:rsidR="00082B0E" w:rsidRPr="000A7465" w:rsidRDefault="00082B0E" w:rsidP="00082B0E">
            <w:pPr>
              <w:rPr>
                <w:rFonts w:ascii="Times New Roman" w:hAnsi="Times New Roman" w:cs="Times New Roman"/>
                <w:sz w:val="18"/>
                <w:szCs w:val="18"/>
              </w:rPr>
            </w:pPr>
          </w:p>
          <w:p w14:paraId="407D548E" w14:textId="16611829" w:rsidR="00082B0E" w:rsidRPr="000A7465" w:rsidRDefault="00082B0E" w:rsidP="00C776A4">
            <w:pPr>
              <w:rPr>
                <w:rFonts w:ascii="Times New Roman" w:hAnsi="Times New Roman" w:cs="Times New Roman"/>
                <w:b/>
                <w:sz w:val="18"/>
                <w:szCs w:val="18"/>
              </w:rPr>
            </w:pPr>
            <w:r w:rsidRPr="000A7465">
              <w:rPr>
                <w:rFonts w:ascii="Times New Roman" w:hAnsi="Times New Roman" w:cs="Times New Roman"/>
                <w:b/>
                <w:sz w:val="18"/>
                <w:szCs w:val="18"/>
              </w:rPr>
              <w:t>Intervention:</w:t>
            </w:r>
            <w:r w:rsidR="00C776A4" w:rsidRPr="000A7465">
              <w:rPr>
                <w:rFonts w:ascii="Times New Roman" w:hAnsi="Times New Roman" w:cs="Times New Roman"/>
                <w:b/>
                <w:sz w:val="18"/>
                <w:szCs w:val="18"/>
              </w:rPr>
              <w:t xml:space="preserve"> </w:t>
            </w:r>
            <w:r w:rsidRPr="000A7465">
              <w:rPr>
                <w:rFonts w:ascii="Times New Roman" w:hAnsi="Times New Roman" w:cs="Times New Roman"/>
                <w:sz w:val="18"/>
                <w:szCs w:val="18"/>
              </w:rPr>
              <w:t xml:space="preserve">“11+” </w:t>
            </w:r>
            <w:r w:rsidR="00C776A4" w:rsidRPr="000A7465">
              <w:rPr>
                <w:rFonts w:ascii="Times New Roman" w:hAnsi="Times New Roman" w:cs="Times New Roman"/>
                <w:sz w:val="18"/>
                <w:szCs w:val="18"/>
              </w:rPr>
              <w:t xml:space="preserve">IPP </w:t>
            </w:r>
          </w:p>
          <w:p w14:paraId="5B168C50" w14:textId="7DC8E534" w:rsidR="00082B0E" w:rsidRPr="000A7465" w:rsidRDefault="00082B0E" w:rsidP="00C776A4">
            <w:pPr>
              <w:rPr>
                <w:rFonts w:ascii="Times New Roman" w:hAnsi="Times New Roman" w:cs="Times New Roman"/>
                <w:sz w:val="18"/>
                <w:szCs w:val="18"/>
              </w:rPr>
            </w:pPr>
            <w:r w:rsidRPr="000A7465">
              <w:rPr>
                <w:rFonts w:ascii="Times New Roman" w:hAnsi="Times New Roman" w:cs="Times New Roman"/>
                <w:b/>
                <w:sz w:val="18"/>
                <w:szCs w:val="18"/>
              </w:rPr>
              <w:t>Control</w:t>
            </w:r>
            <w:r w:rsidRPr="000A7465">
              <w:rPr>
                <w:rFonts w:ascii="Times New Roman" w:hAnsi="Times New Roman" w:cs="Times New Roman"/>
                <w:sz w:val="18"/>
                <w:szCs w:val="18"/>
              </w:rPr>
              <w:t>:</w:t>
            </w:r>
            <w:r w:rsidR="00C776A4" w:rsidRPr="000A7465">
              <w:rPr>
                <w:rFonts w:ascii="Times New Roman" w:hAnsi="Times New Roman" w:cs="Times New Roman"/>
                <w:sz w:val="18"/>
                <w:szCs w:val="18"/>
              </w:rPr>
              <w:t xml:space="preserve"> </w:t>
            </w:r>
            <w:r w:rsidRPr="000A7465">
              <w:rPr>
                <w:rFonts w:ascii="Times New Roman" w:hAnsi="Times New Roman" w:cs="Times New Roman"/>
                <w:sz w:val="18"/>
                <w:szCs w:val="18"/>
              </w:rPr>
              <w:t xml:space="preserve">No injury prevention program, routine warmup </w:t>
            </w:r>
          </w:p>
          <w:p w14:paraId="56C48F23" w14:textId="77777777" w:rsidR="00082B0E" w:rsidRPr="000A7465" w:rsidRDefault="00082B0E" w:rsidP="00082B0E">
            <w:pPr>
              <w:rPr>
                <w:rFonts w:ascii="Times New Roman" w:hAnsi="Times New Roman" w:cs="Times New Roman"/>
                <w:b/>
                <w:sz w:val="18"/>
                <w:szCs w:val="18"/>
              </w:rPr>
            </w:pPr>
          </w:p>
          <w:p w14:paraId="4DB40D34" w14:textId="77777777" w:rsidR="00082B0E" w:rsidRPr="000A7465" w:rsidRDefault="00082B0E" w:rsidP="00082B0E">
            <w:pPr>
              <w:rPr>
                <w:rFonts w:ascii="Times New Roman" w:hAnsi="Times New Roman" w:cs="Times New Roman"/>
                <w:sz w:val="18"/>
                <w:szCs w:val="18"/>
              </w:rPr>
            </w:pPr>
            <w:r w:rsidRPr="000A7465">
              <w:rPr>
                <w:rFonts w:ascii="Times New Roman" w:hAnsi="Times New Roman" w:cs="Times New Roman"/>
                <w:b/>
                <w:sz w:val="18"/>
                <w:szCs w:val="18"/>
              </w:rPr>
              <w:t>Study characteristics</w:t>
            </w:r>
            <w:r w:rsidRPr="000A7465">
              <w:rPr>
                <w:rFonts w:ascii="Times New Roman" w:hAnsi="Times New Roman" w:cs="Times New Roman"/>
                <w:sz w:val="18"/>
                <w:szCs w:val="18"/>
              </w:rPr>
              <w:t xml:space="preserve"> </w:t>
            </w:r>
          </w:p>
          <w:p w14:paraId="0F6B556A" w14:textId="4EC23A3D" w:rsidR="00082B0E" w:rsidRPr="000A7465" w:rsidRDefault="00082B0E" w:rsidP="00082B0E">
            <w:pPr>
              <w:pStyle w:val="ListParagraph"/>
              <w:numPr>
                <w:ilvl w:val="0"/>
                <w:numId w:val="2"/>
              </w:numPr>
              <w:rPr>
                <w:rFonts w:ascii="Times New Roman" w:hAnsi="Times New Roman" w:cs="Times New Roman"/>
                <w:sz w:val="18"/>
                <w:szCs w:val="18"/>
              </w:rPr>
            </w:pPr>
            <w:r w:rsidRPr="000A7465">
              <w:rPr>
                <w:rFonts w:ascii="Times New Roman" w:hAnsi="Times New Roman" w:cs="Times New Roman"/>
                <w:sz w:val="18"/>
                <w:szCs w:val="18"/>
              </w:rPr>
              <w:t>6 cluste</w:t>
            </w:r>
            <w:r w:rsidR="00C776A4" w:rsidRPr="000A7465">
              <w:rPr>
                <w:rFonts w:ascii="Times New Roman" w:hAnsi="Times New Roman" w:cs="Times New Roman"/>
                <w:sz w:val="18"/>
                <w:szCs w:val="18"/>
              </w:rPr>
              <w:t>r randomized controlled trials</w:t>
            </w:r>
          </w:p>
          <w:p w14:paraId="23B88EF6" w14:textId="188253A1" w:rsidR="00082B0E" w:rsidRPr="000A7465" w:rsidRDefault="00C776A4" w:rsidP="00082B0E">
            <w:pPr>
              <w:pStyle w:val="ListParagraph"/>
              <w:numPr>
                <w:ilvl w:val="0"/>
                <w:numId w:val="2"/>
              </w:numPr>
              <w:rPr>
                <w:rFonts w:ascii="Times New Roman" w:hAnsi="Times New Roman" w:cs="Times New Roman"/>
                <w:sz w:val="18"/>
                <w:szCs w:val="18"/>
              </w:rPr>
            </w:pPr>
            <w:r w:rsidRPr="000A7465">
              <w:rPr>
                <w:rFonts w:ascii="Times New Roman" w:hAnsi="Times New Roman" w:cs="Times New Roman"/>
                <w:sz w:val="18"/>
                <w:szCs w:val="18"/>
              </w:rPr>
              <w:t>3</w:t>
            </w:r>
            <w:r w:rsidR="00082B0E" w:rsidRPr="000A7465">
              <w:rPr>
                <w:rFonts w:ascii="Times New Roman" w:hAnsi="Times New Roman" w:cs="Times New Roman"/>
                <w:sz w:val="18"/>
                <w:szCs w:val="18"/>
              </w:rPr>
              <w:t xml:space="preserve"> studies included male soccer players, an</w:t>
            </w:r>
            <w:r w:rsidRPr="000A7465">
              <w:rPr>
                <w:rFonts w:ascii="Times New Roman" w:hAnsi="Times New Roman" w:cs="Times New Roman"/>
                <w:sz w:val="18"/>
                <w:szCs w:val="18"/>
              </w:rPr>
              <w:t>d 3</w:t>
            </w:r>
            <w:r w:rsidR="00082B0E" w:rsidRPr="000A7465">
              <w:rPr>
                <w:rFonts w:ascii="Times New Roman" w:hAnsi="Times New Roman" w:cs="Times New Roman"/>
                <w:sz w:val="18"/>
                <w:szCs w:val="18"/>
              </w:rPr>
              <w:t xml:space="preserve"> studies included female soccer players </w:t>
            </w:r>
          </w:p>
          <w:p w14:paraId="6A4DC8B0" w14:textId="60FC6CF7" w:rsidR="00AC2FF0" w:rsidRPr="000A7465" w:rsidRDefault="00C776A4" w:rsidP="00082B0E">
            <w:pPr>
              <w:pStyle w:val="ListParagraph"/>
              <w:numPr>
                <w:ilvl w:val="0"/>
                <w:numId w:val="2"/>
              </w:numPr>
              <w:rPr>
                <w:rFonts w:ascii="Times New Roman" w:hAnsi="Times New Roman" w:cs="Times New Roman"/>
                <w:sz w:val="18"/>
                <w:szCs w:val="18"/>
              </w:rPr>
            </w:pPr>
            <w:r w:rsidRPr="000A7465">
              <w:rPr>
                <w:rFonts w:ascii="Times New Roman" w:hAnsi="Times New Roman" w:cs="Times New Roman"/>
                <w:sz w:val="18"/>
                <w:szCs w:val="18"/>
              </w:rPr>
              <w:t>Combined sample of 6,344 players, 3,307 (52%) players in the intervention group and 3,037 (48%) in the control</w:t>
            </w:r>
            <w:r w:rsidR="00F251F7" w:rsidRPr="000A7465">
              <w:rPr>
                <w:rFonts w:ascii="Times New Roman" w:hAnsi="Times New Roman" w:cs="Times New Roman"/>
                <w:sz w:val="18"/>
                <w:szCs w:val="18"/>
              </w:rPr>
              <w:t xml:space="preserve"> group</w:t>
            </w:r>
          </w:p>
        </w:tc>
        <w:tc>
          <w:tcPr>
            <w:tcW w:w="4584" w:type="dxa"/>
          </w:tcPr>
          <w:p w14:paraId="1AD2BEE0" w14:textId="0BC3FA29" w:rsidR="00AC2FF0" w:rsidRPr="000A7465" w:rsidRDefault="00F251F7">
            <w:pPr>
              <w:rPr>
                <w:rFonts w:ascii="Times New Roman" w:hAnsi="Times New Roman" w:cs="Times New Roman"/>
                <w:sz w:val="18"/>
                <w:szCs w:val="18"/>
              </w:rPr>
            </w:pPr>
            <w:r w:rsidRPr="000A7465">
              <w:rPr>
                <w:rFonts w:ascii="Times New Roman" w:hAnsi="Times New Roman" w:cs="Times New Roman"/>
                <w:b/>
                <w:sz w:val="18"/>
                <w:szCs w:val="18"/>
              </w:rPr>
              <w:t>Relative Risk</w:t>
            </w:r>
            <w:r w:rsidRPr="000A7465">
              <w:rPr>
                <w:rFonts w:ascii="Times New Roman" w:hAnsi="Times New Roman" w:cs="Times New Roman"/>
                <w:sz w:val="18"/>
                <w:szCs w:val="18"/>
              </w:rPr>
              <w:t xml:space="preserve">: </w:t>
            </w:r>
            <w:r w:rsidR="000A7465">
              <w:rPr>
                <w:rFonts w:ascii="Times New Roman" w:hAnsi="Times New Roman" w:cs="Times New Roman"/>
                <w:sz w:val="18"/>
                <w:szCs w:val="18"/>
              </w:rPr>
              <w:t>the “</w:t>
            </w:r>
            <w:r w:rsidRPr="000A7465">
              <w:rPr>
                <w:rFonts w:ascii="Times New Roman" w:hAnsi="Times New Roman" w:cs="Times New Roman"/>
                <w:sz w:val="18"/>
                <w:szCs w:val="18"/>
              </w:rPr>
              <w:t>11+</w:t>
            </w:r>
            <w:r w:rsidR="00593ADA" w:rsidRPr="000A7465">
              <w:rPr>
                <w:rFonts w:ascii="Times New Roman" w:hAnsi="Times New Roman" w:cs="Times New Roman"/>
                <w:sz w:val="18"/>
                <w:szCs w:val="18"/>
              </w:rPr>
              <w:t>”</w:t>
            </w:r>
            <w:r w:rsidRPr="000A7465">
              <w:rPr>
                <w:rFonts w:ascii="Times New Roman" w:hAnsi="Times New Roman" w:cs="Times New Roman"/>
                <w:sz w:val="18"/>
                <w:szCs w:val="18"/>
              </w:rPr>
              <w:t xml:space="preserve"> IPP versus</w:t>
            </w:r>
            <w:r w:rsidR="00593ADA" w:rsidRPr="000A7465">
              <w:rPr>
                <w:rFonts w:ascii="Times New Roman" w:hAnsi="Times New Roman" w:cs="Times New Roman"/>
                <w:sz w:val="18"/>
                <w:szCs w:val="18"/>
              </w:rPr>
              <w:t xml:space="preserve"> the</w:t>
            </w:r>
            <w:r w:rsidRPr="000A7465">
              <w:rPr>
                <w:rFonts w:ascii="Times New Roman" w:hAnsi="Times New Roman" w:cs="Times New Roman"/>
                <w:sz w:val="18"/>
                <w:szCs w:val="18"/>
              </w:rPr>
              <w:t xml:space="preserve"> control</w:t>
            </w:r>
          </w:p>
          <w:p w14:paraId="550051F5" w14:textId="41588B3B" w:rsidR="00F251F7" w:rsidRPr="000A7465" w:rsidRDefault="00F251F7" w:rsidP="00F251F7">
            <w:pPr>
              <w:pStyle w:val="ListParagraph"/>
              <w:numPr>
                <w:ilvl w:val="0"/>
                <w:numId w:val="2"/>
              </w:numPr>
              <w:rPr>
                <w:rFonts w:ascii="Times New Roman" w:hAnsi="Times New Roman" w:cs="Times New Roman"/>
                <w:sz w:val="18"/>
                <w:szCs w:val="18"/>
              </w:rPr>
            </w:pPr>
            <w:r w:rsidRPr="000A7465">
              <w:rPr>
                <w:rFonts w:ascii="Times New Roman" w:hAnsi="Times New Roman" w:cs="Times New Roman"/>
                <w:sz w:val="18"/>
                <w:szCs w:val="18"/>
              </w:rPr>
              <w:t xml:space="preserve">Overall injury risk RR = 0.70 (95% CI 0.52-0.93) </w:t>
            </w:r>
          </w:p>
          <w:p w14:paraId="7CE23B6F" w14:textId="14FA71EB" w:rsidR="00F251F7" w:rsidRPr="000A7465" w:rsidRDefault="00F251F7" w:rsidP="00F251F7">
            <w:pPr>
              <w:pStyle w:val="ListParagraph"/>
              <w:numPr>
                <w:ilvl w:val="0"/>
                <w:numId w:val="2"/>
              </w:numPr>
              <w:rPr>
                <w:rFonts w:ascii="Times New Roman" w:hAnsi="Times New Roman" w:cs="Times New Roman"/>
                <w:sz w:val="18"/>
                <w:szCs w:val="18"/>
              </w:rPr>
            </w:pPr>
            <w:r w:rsidRPr="000A7465">
              <w:rPr>
                <w:rFonts w:ascii="Times New Roman" w:hAnsi="Times New Roman" w:cs="Times New Roman"/>
                <w:sz w:val="18"/>
                <w:szCs w:val="18"/>
              </w:rPr>
              <w:t xml:space="preserve">Lower extremity injury risk RR = </w:t>
            </w:r>
            <w:r w:rsidR="00F20BE6" w:rsidRPr="000A7465">
              <w:rPr>
                <w:rFonts w:ascii="Times New Roman" w:hAnsi="Times New Roman" w:cs="Times New Roman"/>
                <w:sz w:val="18"/>
                <w:szCs w:val="18"/>
              </w:rPr>
              <w:t>0.70 (95% CI 0.53-0.93)</w:t>
            </w:r>
          </w:p>
          <w:p w14:paraId="66F111C5" w14:textId="4281453A" w:rsidR="00F20BE6" w:rsidRPr="000A7465" w:rsidRDefault="00F20BE6" w:rsidP="00F251F7">
            <w:pPr>
              <w:pStyle w:val="ListParagraph"/>
              <w:numPr>
                <w:ilvl w:val="0"/>
                <w:numId w:val="2"/>
              </w:numPr>
              <w:rPr>
                <w:rFonts w:ascii="Times New Roman" w:hAnsi="Times New Roman" w:cs="Times New Roman"/>
                <w:sz w:val="18"/>
                <w:szCs w:val="18"/>
              </w:rPr>
            </w:pPr>
            <w:r w:rsidRPr="000A7465">
              <w:rPr>
                <w:rFonts w:ascii="Times New Roman" w:hAnsi="Times New Roman" w:cs="Times New Roman"/>
                <w:sz w:val="18"/>
                <w:szCs w:val="18"/>
              </w:rPr>
              <w:t>Moderate/severe injuries: RR = 0.69 (95% CI, 0.54–0.88)</w:t>
            </w:r>
          </w:p>
          <w:p w14:paraId="394FE6EA" w14:textId="77777777" w:rsidR="00F251F7" w:rsidRPr="000A7465" w:rsidRDefault="00F251F7">
            <w:pPr>
              <w:rPr>
                <w:rFonts w:ascii="Times New Roman" w:hAnsi="Times New Roman" w:cs="Times New Roman"/>
                <w:sz w:val="18"/>
                <w:szCs w:val="18"/>
              </w:rPr>
            </w:pPr>
          </w:p>
          <w:p w14:paraId="5CA4C1B1" w14:textId="55F10828" w:rsidR="00367F26" w:rsidRPr="000A7465" w:rsidRDefault="00367F26">
            <w:pPr>
              <w:rPr>
                <w:rFonts w:ascii="Times New Roman" w:hAnsi="Times New Roman" w:cs="Times New Roman"/>
                <w:sz w:val="18"/>
                <w:szCs w:val="18"/>
              </w:rPr>
            </w:pPr>
          </w:p>
        </w:tc>
        <w:tc>
          <w:tcPr>
            <w:tcW w:w="3495" w:type="dxa"/>
          </w:tcPr>
          <w:p w14:paraId="208DC140" w14:textId="2F8EAF05" w:rsidR="00AC2FF0" w:rsidRPr="000A7465" w:rsidRDefault="00BC431A">
            <w:pPr>
              <w:rPr>
                <w:rFonts w:ascii="Times New Roman" w:hAnsi="Times New Roman" w:cs="Times New Roman"/>
                <w:sz w:val="18"/>
                <w:szCs w:val="18"/>
              </w:rPr>
            </w:pPr>
            <w:r w:rsidRPr="000A7465">
              <w:rPr>
                <w:rFonts w:ascii="Times New Roman" w:hAnsi="Times New Roman" w:cs="Times New Roman"/>
                <w:b/>
                <w:sz w:val="18"/>
                <w:szCs w:val="18"/>
              </w:rPr>
              <w:t>Main Conclusions</w:t>
            </w:r>
            <w:r w:rsidRPr="000A7465">
              <w:rPr>
                <w:rFonts w:ascii="Times New Roman" w:hAnsi="Times New Roman" w:cs="Times New Roman"/>
                <w:sz w:val="18"/>
                <w:szCs w:val="18"/>
              </w:rPr>
              <w:t xml:space="preserve">: </w:t>
            </w:r>
            <w:r w:rsidR="000A7465">
              <w:rPr>
                <w:rFonts w:ascii="Times New Roman" w:hAnsi="Times New Roman" w:cs="Times New Roman"/>
                <w:sz w:val="18"/>
                <w:szCs w:val="18"/>
              </w:rPr>
              <w:t xml:space="preserve">The </w:t>
            </w:r>
            <w:r w:rsidR="00D61CDC" w:rsidRPr="000A7465">
              <w:rPr>
                <w:rFonts w:ascii="Times New Roman" w:hAnsi="Times New Roman" w:cs="Times New Roman"/>
                <w:sz w:val="18"/>
                <w:szCs w:val="18"/>
              </w:rPr>
              <w:t>“</w:t>
            </w:r>
            <w:r w:rsidRPr="000A7465">
              <w:rPr>
                <w:rFonts w:ascii="Times New Roman" w:hAnsi="Times New Roman" w:cs="Times New Roman"/>
                <w:sz w:val="18"/>
                <w:szCs w:val="18"/>
              </w:rPr>
              <w:t>11+</w:t>
            </w:r>
            <w:r w:rsidR="00D61CDC" w:rsidRPr="000A7465">
              <w:rPr>
                <w:rFonts w:ascii="Times New Roman" w:hAnsi="Times New Roman" w:cs="Times New Roman"/>
                <w:sz w:val="18"/>
                <w:szCs w:val="18"/>
              </w:rPr>
              <w:t>”</w:t>
            </w:r>
            <w:r w:rsidRPr="000A7465">
              <w:rPr>
                <w:rFonts w:ascii="Times New Roman" w:hAnsi="Times New Roman" w:cs="Times New Roman"/>
                <w:sz w:val="18"/>
                <w:szCs w:val="18"/>
              </w:rPr>
              <w:t xml:space="preserve"> can reduce the risk of soccer related injuries by 30% (</w:t>
            </w:r>
            <w:r w:rsidR="00CC5F9A" w:rsidRPr="000A7465">
              <w:rPr>
                <w:rFonts w:ascii="Times New Roman" w:hAnsi="Times New Roman" w:cs="Times New Roman"/>
                <w:sz w:val="18"/>
                <w:szCs w:val="18"/>
              </w:rPr>
              <w:t xml:space="preserve">RR = 0.70; </w:t>
            </w:r>
            <w:r w:rsidRPr="000A7465">
              <w:rPr>
                <w:rFonts w:ascii="Times New Roman" w:hAnsi="Times New Roman" w:cs="Times New Roman"/>
                <w:sz w:val="18"/>
                <w:szCs w:val="18"/>
              </w:rPr>
              <w:t xml:space="preserve">95% CI 0.52-0.93) </w:t>
            </w:r>
          </w:p>
          <w:p w14:paraId="6A90987F" w14:textId="77777777" w:rsidR="00750179" w:rsidRPr="000A7465" w:rsidRDefault="00750179">
            <w:pPr>
              <w:rPr>
                <w:rFonts w:ascii="Times New Roman" w:hAnsi="Times New Roman" w:cs="Times New Roman"/>
                <w:sz w:val="18"/>
                <w:szCs w:val="18"/>
              </w:rPr>
            </w:pPr>
            <w:r w:rsidRPr="000A7465">
              <w:rPr>
                <w:rFonts w:ascii="Times New Roman" w:hAnsi="Times New Roman" w:cs="Times New Roman"/>
                <w:b/>
                <w:sz w:val="18"/>
                <w:szCs w:val="18"/>
              </w:rPr>
              <w:t>Limitations</w:t>
            </w:r>
            <w:r w:rsidRPr="000A7465">
              <w:rPr>
                <w:rFonts w:ascii="Times New Roman" w:hAnsi="Times New Roman" w:cs="Times New Roman"/>
                <w:sz w:val="18"/>
                <w:szCs w:val="18"/>
              </w:rPr>
              <w:t xml:space="preserve">: </w:t>
            </w:r>
          </w:p>
          <w:p w14:paraId="2B245BF9" w14:textId="3D8BF1B9" w:rsidR="00750179" w:rsidRPr="000A7465" w:rsidRDefault="00CC5F9A" w:rsidP="00750179">
            <w:pPr>
              <w:pStyle w:val="ListParagraph"/>
              <w:numPr>
                <w:ilvl w:val="0"/>
                <w:numId w:val="2"/>
              </w:numPr>
              <w:rPr>
                <w:rFonts w:ascii="Times New Roman" w:hAnsi="Times New Roman" w:cs="Times New Roman"/>
                <w:sz w:val="18"/>
                <w:szCs w:val="18"/>
              </w:rPr>
            </w:pPr>
            <w:r w:rsidRPr="000A7465">
              <w:rPr>
                <w:rFonts w:ascii="Times New Roman" w:hAnsi="Times New Roman" w:cs="Times New Roman"/>
                <w:sz w:val="18"/>
                <w:szCs w:val="18"/>
              </w:rPr>
              <w:t>Methodical</w:t>
            </w:r>
            <w:r w:rsidR="00750179" w:rsidRPr="000A7465">
              <w:rPr>
                <w:rFonts w:ascii="Times New Roman" w:hAnsi="Times New Roman" w:cs="Times New Roman"/>
                <w:sz w:val="18"/>
                <w:szCs w:val="18"/>
              </w:rPr>
              <w:t xml:space="preserve"> heterogeneity among studies due to lack of administration protocol including non-blinded trainers, </w:t>
            </w:r>
            <w:r w:rsidR="005406D6" w:rsidRPr="000A7465">
              <w:rPr>
                <w:rFonts w:ascii="Times New Roman" w:hAnsi="Times New Roman" w:cs="Times New Roman"/>
                <w:sz w:val="18"/>
                <w:szCs w:val="18"/>
              </w:rPr>
              <w:t>different people administered program (coaches versus trainer)</w:t>
            </w:r>
            <w:r w:rsidRPr="000A7465">
              <w:rPr>
                <w:rFonts w:ascii="Times New Roman" w:hAnsi="Times New Roman" w:cs="Times New Roman"/>
                <w:sz w:val="18"/>
                <w:szCs w:val="18"/>
              </w:rPr>
              <w:t xml:space="preserve">, variability in knowledge and instruction </w:t>
            </w:r>
            <w:r w:rsidR="00D61CDC" w:rsidRPr="000A7465">
              <w:rPr>
                <w:rFonts w:ascii="Times New Roman" w:hAnsi="Times New Roman" w:cs="Times New Roman"/>
                <w:sz w:val="18"/>
                <w:szCs w:val="18"/>
              </w:rPr>
              <w:t>of t</w:t>
            </w:r>
            <w:r w:rsidRPr="000A7465">
              <w:rPr>
                <w:rFonts w:ascii="Times New Roman" w:hAnsi="Times New Roman" w:cs="Times New Roman"/>
                <w:sz w:val="18"/>
                <w:szCs w:val="18"/>
              </w:rPr>
              <w:t>he program</w:t>
            </w:r>
            <w:r w:rsidR="00750179" w:rsidRPr="000A7465">
              <w:rPr>
                <w:rFonts w:ascii="Times New Roman" w:hAnsi="Times New Roman" w:cs="Times New Roman"/>
                <w:sz w:val="18"/>
                <w:szCs w:val="18"/>
              </w:rPr>
              <w:t xml:space="preserve"> </w:t>
            </w:r>
          </w:p>
          <w:p w14:paraId="2CE92DD5" w14:textId="163BA034" w:rsidR="00750179" w:rsidRPr="000A7465" w:rsidRDefault="00750179" w:rsidP="00750179">
            <w:pPr>
              <w:pStyle w:val="ListParagraph"/>
              <w:numPr>
                <w:ilvl w:val="0"/>
                <w:numId w:val="2"/>
              </w:numPr>
              <w:rPr>
                <w:rFonts w:ascii="Times New Roman" w:hAnsi="Times New Roman" w:cs="Times New Roman"/>
                <w:sz w:val="18"/>
                <w:szCs w:val="18"/>
              </w:rPr>
            </w:pPr>
            <w:r w:rsidRPr="000A7465">
              <w:rPr>
                <w:rFonts w:ascii="Times New Roman" w:hAnsi="Times New Roman" w:cs="Times New Roman"/>
                <w:sz w:val="18"/>
                <w:szCs w:val="18"/>
              </w:rPr>
              <w:t>Wide age range of athletes: 15- 40</w:t>
            </w:r>
            <w:r w:rsidR="00CC5F9A" w:rsidRPr="000A7465">
              <w:rPr>
                <w:rFonts w:ascii="Times New Roman" w:hAnsi="Times New Roman" w:cs="Times New Roman"/>
                <w:sz w:val="18"/>
                <w:szCs w:val="18"/>
              </w:rPr>
              <w:t xml:space="preserve"> years</w:t>
            </w:r>
          </w:p>
          <w:p w14:paraId="02EB3A34" w14:textId="1497937D" w:rsidR="00750179" w:rsidRPr="000A7465" w:rsidRDefault="005406D6" w:rsidP="00750179">
            <w:pPr>
              <w:pStyle w:val="ListParagraph"/>
              <w:numPr>
                <w:ilvl w:val="0"/>
                <w:numId w:val="2"/>
              </w:numPr>
              <w:rPr>
                <w:rFonts w:ascii="Times New Roman" w:hAnsi="Times New Roman" w:cs="Times New Roman"/>
                <w:sz w:val="18"/>
                <w:szCs w:val="18"/>
              </w:rPr>
            </w:pPr>
            <w:r w:rsidRPr="000A7465">
              <w:rPr>
                <w:rFonts w:ascii="Times New Roman" w:hAnsi="Times New Roman" w:cs="Times New Roman"/>
                <w:sz w:val="18"/>
                <w:szCs w:val="18"/>
              </w:rPr>
              <w:t xml:space="preserve">Variability in study definitions of “injury” and self-report subjective nature of the outcome of interest </w:t>
            </w:r>
          </w:p>
          <w:p w14:paraId="57875E6E" w14:textId="77777777" w:rsidR="00CC5F9A" w:rsidRPr="000A7465" w:rsidRDefault="005406D6" w:rsidP="00750179">
            <w:pPr>
              <w:pStyle w:val="ListParagraph"/>
              <w:numPr>
                <w:ilvl w:val="0"/>
                <w:numId w:val="2"/>
              </w:numPr>
              <w:rPr>
                <w:rFonts w:ascii="Times New Roman" w:hAnsi="Times New Roman" w:cs="Times New Roman"/>
                <w:sz w:val="18"/>
                <w:szCs w:val="18"/>
              </w:rPr>
            </w:pPr>
            <w:r w:rsidRPr="000A7465">
              <w:rPr>
                <w:rFonts w:ascii="Times New Roman" w:hAnsi="Times New Roman" w:cs="Times New Roman"/>
                <w:sz w:val="18"/>
                <w:szCs w:val="18"/>
              </w:rPr>
              <w:t>Variability in implementation frequency and duration. Ranging from 2-3 times per week to 1 time per week for 4.5-9 months.</w:t>
            </w:r>
          </w:p>
          <w:p w14:paraId="37A79E2F" w14:textId="1C4E0B91" w:rsidR="00750179" w:rsidRPr="000A7465" w:rsidRDefault="00CC5F9A" w:rsidP="00750179">
            <w:pPr>
              <w:pStyle w:val="ListParagraph"/>
              <w:numPr>
                <w:ilvl w:val="0"/>
                <w:numId w:val="2"/>
              </w:numPr>
              <w:rPr>
                <w:rFonts w:ascii="Times New Roman" w:hAnsi="Times New Roman" w:cs="Times New Roman"/>
                <w:sz w:val="18"/>
                <w:szCs w:val="18"/>
              </w:rPr>
            </w:pPr>
            <w:r w:rsidRPr="000A7465">
              <w:rPr>
                <w:rFonts w:ascii="Times New Roman" w:hAnsi="Times New Roman" w:cs="Times New Roman"/>
                <w:sz w:val="18"/>
                <w:szCs w:val="18"/>
              </w:rPr>
              <w:t xml:space="preserve">Injury risk was not calculated based on exposure hours. </w:t>
            </w:r>
            <w:r w:rsidR="005406D6" w:rsidRPr="000A7465">
              <w:rPr>
                <w:rFonts w:ascii="Times New Roman" w:hAnsi="Times New Roman" w:cs="Times New Roman"/>
                <w:sz w:val="18"/>
                <w:szCs w:val="18"/>
              </w:rPr>
              <w:t xml:space="preserve"> </w:t>
            </w:r>
          </w:p>
        </w:tc>
      </w:tr>
      <w:tr w:rsidR="00FD3429" w:rsidRPr="000A7465" w14:paraId="40F5547A" w14:textId="77777777" w:rsidTr="00C609F5">
        <w:trPr>
          <w:gridBefore w:val="1"/>
          <w:gridAfter w:val="1"/>
          <w:wBefore w:w="365" w:type="dxa"/>
          <w:wAfter w:w="270" w:type="dxa"/>
        </w:trPr>
        <w:tc>
          <w:tcPr>
            <w:tcW w:w="1936" w:type="dxa"/>
          </w:tcPr>
          <w:p w14:paraId="4958F6B9" w14:textId="30AB3C32" w:rsidR="00AC2FF0" w:rsidRPr="000A7465" w:rsidRDefault="00AC2FF0" w:rsidP="00EC58B5">
            <w:pPr>
              <w:rPr>
                <w:rFonts w:ascii="Times New Roman" w:hAnsi="Times New Roman" w:cs="Times New Roman"/>
                <w:sz w:val="18"/>
                <w:szCs w:val="18"/>
              </w:rPr>
            </w:pPr>
            <w:r w:rsidRPr="000A7465">
              <w:rPr>
                <w:rFonts w:ascii="Times New Roman" w:hAnsi="Times New Roman" w:cs="Times New Roman"/>
                <w:b/>
                <w:sz w:val="18"/>
                <w:szCs w:val="18"/>
              </w:rPr>
              <w:t>Author/Year</w:t>
            </w:r>
            <w:r w:rsidR="00367F76" w:rsidRPr="000A7465">
              <w:rPr>
                <w:rFonts w:ascii="Times New Roman" w:hAnsi="Times New Roman" w:cs="Times New Roman"/>
                <w:sz w:val="18"/>
                <w:szCs w:val="18"/>
              </w:rPr>
              <w:t>: Silvers-</w:t>
            </w:r>
            <w:proofErr w:type="spellStart"/>
            <w:r w:rsidR="00367F76" w:rsidRPr="000A7465">
              <w:rPr>
                <w:rFonts w:ascii="Times New Roman" w:hAnsi="Times New Roman" w:cs="Times New Roman"/>
                <w:sz w:val="18"/>
                <w:szCs w:val="18"/>
              </w:rPr>
              <w:t>Granelli</w:t>
            </w:r>
            <w:proofErr w:type="spellEnd"/>
            <w:r w:rsidR="00367F76" w:rsidRPr="000A7465">
              <w:rPr>
                <w:rFonts w:ascii="Times New Roman" w:hAnsi="Times New Roman" w:cs="Times New Roman"/>
                <w:sz w:val="18"/>
                <w:szCs w:val="18"/>
              </w:rPr>
              <w:t xml:space="preserve"> (2015)</w:t>
            </w:r>
            <w:r w:rsidR="00367F76" w:rsidRPr="000A7465">
              <w:rPr>
                <w:rFonts w:ascii="Times New Roman" w:hAnsi="Times New Roman" w:cs="Times New Roman"/>
                <w:sz w:val="18"/>
                <w:szCs w:val="18"/>
              </w:rPr>
              <w:fldChar w:fldCharType="begin"/>
            </w:r>
            <w:r w:rsidR="009D18FB" w:rsidRPr="000A7465">
              <w:rPr>
                <w:rFonts w:ascii="Times New Roman" w:hAnsi="Times New Roman" w:cs="Times New Roman"/>
                <w:sz w:val="18"/>
                <w:szCs w:val="18"/>
              </w:rPr>
              <w:instrText>ADDIN F1000_CSL_CITATION&lt;~#@#~&gt;[{"DOI":"10.1177/0363546515602009","First":false,"Last":false,"PMCID":"PMC4839291","PMID":"26378030","abstract":"&lt;strong&gt;BACKGROUND:&lt;/strong&gt; The Fédération Internationale de Football Association (FIFA) 11+ program has been shown to be an effective injury prevention program in the female soccer cohort, but there is a paucity of research to demonstrate its efficacy in the male population.&lt;br&gt;&lt;br&gt;&lt;strong&gt;HYPOTHESIS:&lt;/strong&gt; To examine the efficacy of the FIFA 11+ program in men's collegiate United States National Collegiate Athletic Association (NCAA) Division I and Division II soccer.&lt;br&gt;&lt;br&gt;&lt;strong&gt;STUDY DESIGN:&lt;/strong&gt; Randomized controlled trial; Level of evidence, 1.&lt;br&gt;&lt;br&gt;&lt;strong&gt;METHODS:&lt;/strong&gt; Before the commencement of the fall 2012 season, every NCAA Division I and Division II men's collegiate soccer team (N = 396) was solicited to participate in this research study. Human ethics review board approval was obtained through Quorum Review IRB. Sixty-five teams were randomized: 34 to the control group (CG; 850 players) and 31 to the intervention group (IG; 675 players). Four teams in the IG did not complete the study, reducing the number for analysis to 61. The FIFA 11+ injury prevention program served as the intervention and was utilized weekly. Athlete-exposures (AEs), compliance, and injury data were recorded using a secure Internet-based system.&lt;br&gt;&lt;br&gt;&lt;strong&gt;RESULTS:&lt;/strong&gt; In the CG, 665 injuries (mean ± SD, 19.56 ± 11.01) were reported for 34 teams, which corresponded to an incidence rate (IR) of 15.04 injuries per 1000 AEs. In the IG, 285 injuries (mean ± SD, 10.56 ± 3.64) were reported for 27 teams, which corresponded to an IR of 8.09 injuries per 1000 AEs. Total days missed because of injury were significantly higher for the CG (mean ± SD, 13.20 ± 26.6 days) than for the IG (mean ± SD, 10.08 ± 14.68 days) (P = .007). There was no difference for time loss due to injury based on field type (P = .341).&lt;br&gt;&lt;br&gt;&lt;strong&gt;CONCLUSION:&lt;/strong&gt; The FIFA 11+ significantly reduced injury rates by 46.1% and decreased time loss to injury by 28.6% in the competitive male collegiate soccer player (rate ratio, 0.54 [95% CI, 0.49-0.59]; P &lt;  .0001) (number needed to treat = 2.64).&lt;br&gt;&lt;br&gt;© 2015 The Author(s).","author":[{"family":"Silvers-Granelli","given":"Holly"},{"family":"Mandelbaum","given":"Bert"},{"family":"Adeniji","given":"Ola"},{"family":"Insler","given":"Stephanie"},{"family":"Bizzini","given":"Mario"},{"family":"Pohlig","given":"Ryan"},{"family":"Junge","given":"Astrid"},{"family":"Snyder-Mackler","given":"Lynn"},{"family":"Dvorak","given":"Jiri"}],"citation-label":"5824178","container-title":"The American Journal of Sports Medicine","container-title-short":"Am. J. Sports Med.","id":"5824178","invisible":false,"issue":"11","issued":{"date-parts":[["2015","11"]]},"journalAbbreviation":"Am. J. Sports Med.","page":"2628-2637","suppress-author":false,"title":"Efficacy of the FIFA 11+ injury prevention program in the collegiate male soccer player.","type":"article-journal","volume":"43"}]</w:instrText>
            </w:r>
            <w:r w:rsidR="00367F76" w:rsidRPr="000A7465">
              <w:rPr>
                <w:rFonts w:ascii="Times New Roman" w:hAnsi="Times New Roman" w:cs="Times New Roman"/>
                <w:sz w:val="18"/>
                <w:szCs w:val="18"/>
              </w:rPr>
              <w:fldChar w:fldCharType="separate"/>
            </w:r>
            <w:r w:rsidR="00502F90" w:rsidRPr="000A7465">
              <w:rPr>
                <w:rFonts w:ascii="Times New Roman" w:hAnsi="Times New Roman" w:cs="Times New Roman"/>
                <w:sz w:val="18"/>
                <w:szCs w:val="18"/>
                <w:vertAlign w:val="superscript"/>
              </w:rPr>
              <w:t>5</w:t>
            </w:r>
            <w:r w:rsidR="00367F76" w:rsidRPr="000A7465">
              <w:rPr>
                <w:rFonts w:ascii="Times New Roman" w:hAnsi="Times New Roman" w:cs="Times New Roman"/>
                <w:sz w:val="18"/>
                <w:szCs w:val="18"/>
              </w:rPr>
              <w:fldChar w:fldCharType="end"/>
            </w:r>
          </w:p>
          <w:p w14:paraId="74FDF6D0" w14:textId="77777777" w:rsidR="00AC2FF0" w:rsidRPr="000A7465" w:rsidRDefault="00AC2FF0" w:rsidP="00EC58B5">
            <w:pPr>
              <w:rPr>
                <w:rFonts w:ascii="Times New Roman" w:hAnsi="Times New Roman" w:cs="Times New Roman"/>
                <w:sz w:val="18"/>
                <w:szCs w:val="18"/>
              </w:rPr>
            </w:pPr>
          </w:p>
          <w:p w14:paraId="4DF28113" w14:textId="77777777" w:rsidR="00AC2FF0" w:rsidRPr="000A7465" w:rsidRDefault="00AC2FF0" w:rsidP="00EC58B5">
            <w:pPr>
              <w:rPr>
                <w:rFonts w:ascii="Times New Roman" w:hAnsi="Times New Roman" w:cs="Times New Roman"/>
                <w:sz w:val="18"/>
                <w:szCs w:val="18"/>
              </w:rPr>
            </w:pPr>
            <w:r w:rsidRPr="000A7465">
              <w:rPr>
                <w:rFonts w:ascii="Times New Roman" w:hAnsi="Times New Roman" w:cs="Times New Roman"/>
                <w:b/>
                <w:sz w:val="18"/>
                <w:szCs w:val="18"/>
              </w:rPr>
              <w:lastRenderedPageBreak/>
              <w:t>Study Design</w:t>
            </w:r>
            <w:r w:rsidRPr="000A7465">
              <w:rPr>
                <w:rFonts w:ascii="Times New Roman" w:hAnsi="Times New Roman" w:cs="Times New Roman"/>
                <w:sz w:val="18"/>
                <w:szCs w:val="18"/>
              </w:rPr>
              <w:t>: cluster randomized controlled trial</w:t>
            </w:r>
          </w:p>
          <w:p w14:paraId="6B4E84F3" w14:textId="77777777" w:rsidR="00AC2FF0" w:rsidRPr="000A7465" w:rsidRDefault="00AC2FF0" w:rsidP="00EC58B5">
            <w:pPr>
              <w:rPr>
                <w:rFonts w:ascii="Times New Roman" w:hAnsi="Times New Roman" w:cs="Times New Roman"/>
                <w:sz w:val="18"/>
                <w:szCs w:val="18"/>
              </w:rPr>
            </w:pPr>
          </w:p>
          <w:p w14:paraId="3E4F5052" w14:textId="77777777" w:rsidR="00AC2FF0" w:rsidRPr="000A7465" w:rsidRDefault="00AC2FF0" w:rsidP="00EC58B5">
            <w:pPr>
              <w:rPr>
                <w:rFonts w:ascii="Times New Roman" w:hAnsi="Times New Roman" w:cs="Times New Roman"/>
                <w:sz w:val="18"/>
                <w:szCs w:val="18"/>
              </w:rPr>
            </w:pPr>
            <w:r w:rsidRPr="000A7465">
              <w:rPr>
                <w:rFonts w:ascii="Times New Roman" w:hAnsi="Times New Roman" w:cs="Times New Roman"/>
                <w:b/>
                <w:sz w:val="18"/>
                <w:szCs w:val="18"/>
              </w:rPr>
              <w:t>Level of evidence</w:t>
            </w:r>
            <w:r w:rsidRPr="000A7465">
              <w:rPr>
                <w:rFonts w:ascii="Times New Roman" w:hAnsi="Times New Roman" w:cs="Times New Roman"/>
                <w:sz w:val="18"/>
                <w:szCs w:val="18"/>
              </w:rPr>
              <w:t>: 1b</w:t>
            </w:r>
          </w:p>
          <w:p w14:paraId="03C91EF4" w14:textId="77777777" w:rsidR="00AC2FF0" w:rsidRPr="000A7465" w:rsidRDefault="00AC2FF0" w:rsidP="00EC58B5">
            <w:pPr>
              <w:rPr>
                <w:rFonts w:ascii="Times New Roman" w:hAnsi="Times New Roman" w:cs="Times New Roman"/>
                <w:sz w:val="18"/>
                <w:szCs w:val="18"/>
              </w:rPr>
            </w:pPr>
          </w:p>
          <w:p w14:paraId="55B51CDA" w14:textId="77777777" w:rsidR="00AC2FF0" w:rsidRPr="000A7465" w:rsidRDefault="00AC2FF0" w:rsidP="00EC58B5">
            <w:pPr>
              <w:rPr>
                <w:rFonts w:ascii="Times New Roman" w:hAnsi="Times New Roman" w:cs="Times New Roman"/>
                <w:sz w:val="18"/>
                <w:szCs w:val="18"/>
              </w:rPr>
            </w:pPr>
            <w:r w:rsidRPr="000A7465">
              <w:rPr>
                <w:rFonts w:ascii="Times New Roman" w:hAnsi="Times New Roman" w:cs="Times New Roman"/>
                <w:b/>
                <w:sz w:val="18"/>
                <w:szCs w:val="18"/>
              </w:rPr>
              <w:t>Risk of bias</w:t>
            </w:r>
            <w:r w:rsidRPr="000A7465">
              <w:rPr>
                <w:rFonts w:ascii="Times New Roman" w:hAnsi="Times New Roman" w:cs="Times New Roman"/>
                <w:sz w:val="18"/>
                <w:szCs w:val="18"/>
              </w:rPr>
              <w:t>: 6/10 (</w:t>
            </w:r>
            <w:proofErr w:type="spellStart"/>
            <w:r w:rsidRPr="000A7465">
              <w:rPr>
                <w:rFonts w:ascii="Times New Roman" w:hAnsi="Times New Roman" w:cs="Times New Roman"/>
                <w:sz w:val="18"/>
                <w:szCs w:val="18"/>
              </w:rPr>
              <w:t>PEDro</w:t>
            </w:r>
            <w:proofErr w:type="spellEnd"/>
            <w:r w:rsidRPr="000A7465">
              <w:rPr>
                <w:rFonts w:ascii="Times New Roman" w:hAnsi="Times New Roman" w:cs="Times New Roman"/>
                <w:sz w:val="18"/>
                <w:szCs w:val="18"/>
              </w:rPr>
              <w:t>)</w:t>
            </w:r>
          </w:p>
        </w:tc>
        <w:tc>
          <w:tcPr>
            <w:tcW w:w="4380" w:type="dxa"/>
          </w:tcPr>
          <w:p w14:paraId="2B4C4278" w14:textId="77777777" w:rsidR="008C5D47" w:rsidRPr="000A7465" w:rsidRDefault="008C5D47" w:rsidP="008C5D47">
            <w:pPr>
              <w:rPr>
                <w:rFonts w:ascii="Times New Roman" w:hAnsi="Times New Roman" w:cs="Times New Roman"/>
                <w:sz w:val="18"/>
                <w:szCs w:val="18"/>
              </w:rPr>
            </w:pPr>
            <w:r w:rsidRPr="000A7465">
              <w:rPr>
                <w:rFonts w:ascii="Times New Roman" w:hAnsi="Times New Roman" w:cs="Times New Roman"/>
                <w:b/>
                <w:sz w:val="18"/>
                <w:szCs w:val="18"/>
              </w:rPr>
              <w:lastRenderedPageBreak/>
              <w:t>Control</w:t>
            </w:r>
            <w:r w:rsidRPr="000A7465">
              <w:rPr>
                <w:rFonts w:ascii="Times New Roman" w:hAnsi="Times New Roman" w:cs="Times New Roman"/>
                <w:sz w:val="18"/>
                <w:szCs w:val="18"/>
              </w:rPr>
              <w:t>: continue with traditional warmup routine</w:t>
            </w:r>
          </w:p>
          <w:p w14:paraId="04D8242F" w14:textId="466E1D51" w:rsidR="008C5D47" w:rsidRPr="000A7465" w:rsidRDefault="008C5D47" w:rsidP="008C5D47">
            <w:pPr>
              <w:rPr>
                <w:rFonts w:ascii="Times New Roman" w:hAnsi="Times New Roman" w:cs="Times New Roman"/>
                <w:sz w:val="18"/>
                <w:szCs w:val="18"/>
              </w:rPr>
            </w:pPr>
            <w:r w:rsidRPr="000A7465">
              <w:rPr>
                <w:rFonts w:ascii="Times New Roman" w:hAnsi="Times New Roman" w:cs="Times New Roman"/>
                <w:b/>
                <w:sz w:val="18"/>
                <w:szCs w:val="18"/>
              </w:rPr>
              <w:t>Intervention</w:t>
            </w:r>
            <w:r w:rsidRPr="000A7465">
              <w:rPr>
                <w:rFonts w:ascii="Times New Roman" w:hAnsi="Times New Roman" w:cs="Times New Roman"/>
                <w:sz w:val="18"/>
                <w:szCs w:val="18"/>
              </w:rPr>
              <w:t xml:space="preserve">: </w:t>
            </w:r>
            <w:r w:rsidR="000A7465">
              <w:rPr>
                <w:rFonts w:ascii="Times New Roman" w:hAnsi="Times New Roman" w:cs="Times New Roman"/>
                <w:sz w:val="18"/>
                <w:szCs w:val="18"/>
              </w:rPr>
              <w:t>The “</w:t>
            </w:r>
            <w:r w:rsidRPr="000A7465">
              <w:rPr>
                <w:rFonts w:ascii="Times New Roman" w:hAnsi="Times New Roman" w:cs="Times New Roman"/>
                <w:sz w:val="18"/>
                <w:szCs w:val="18"/>
              </w:rPr>
              <w:t>11+</w:t>
            </w:r>
            <w:r w:rsidR="004D364B" w:rsidRPr="000A7465">
              <w:rPr>
                <w:rFonts w:ascii="Times New Roman" w:hAnsi="Times New Roman" w:cs="Times New Roman"/>
                <w:sz w:val="18"/>
                <w:szCs w:val="18"/>
              </w:rPr>
              <w:t>”</w:t>
            </w:r>
            <w:r w:rsidRPr="000A7465">
              <w:rPr>
                <w:rFonts w:ascii="Times New Roman" w:hAnsi="Times New Roman" w:cs="Times New Roman"/>
                <w:sz w:val="18"/>
                <w:szCs w:val="18"/>
              </w:rPr>
              <w:t xml:space="preserve"> </w:t>
            </w:r>
            <w:r w:rsidR="004D364B" w:rsidRPr="000A7465">
              <w:rPr>
                <w:rFonts w:ascii="Times New Roman" w:hAnsi="Times New Roman" w:cs="Times New Roman"/>
                <w:sz w:val="18"/>
                <w:szCs w:val="18"/>
              </w:rPr>
              <w:t>IPP</w:t>
            </w:r>
            <w:r w:rsidRPr="000A7465">
              <w:rPr>
                <w:rFonts w:ascii="Times New Roman" w:hAnsi="Times New Roman" w:cs="Times New Roman"/>
                <w:sz w:val="18"/>
                <w:szCs w:val="18"/>
              </w:rPr>
              <w:t xml:space="preserve"> administered by the team’s athletic trainer</w:t>
            </w:r>
          </w:p>
          <w:p w14:paraId="1325C6E7" w14:textId="72F0C1EA" w:rsidR="008C5D47" w:rsidRPr="000A7465" w:rsidRDefault="008C5D47" w:rsidP="008C5D47">
            <w:pPr>
              <w:rPr>
                <w:rFonts w:ascii="Times New Roman" w:hAnsi="Times New Roman" w:cs="Times New Roman"/>
                <w:sz w:val="18"/>
                <w:szCs w:val="18"/>
              </w:rPr>
            </w:pPr>
            <w:r w:rsidRPr="000A7465">
              <w:rPr>
                <w:rFonts w:ascii="Times New Roman" w:hAnsi="Times New Roman" w:cs="Times New Roman"/>
                <w:sz w:val="18"/>
                <w:szCs w:val="18"/>
              </w:rPr>
              <w:lastRenderedPageBreak/>
              <w:t xml:space="preserve"> </w:t>
            </w:r>
          </w:p>
          <w:p w14:paraId="1C8661A0" w14:textId="5599477C" w:rsidR="008C5D47" w:rsidRPr="000A7465" w:rsidRDefault="008C5D47" w:rsidP="008C5D47">
            <w:pPr>
              <w:rPr>
                <w:rFonts w:ascii="Times New Roman" w:hAnsi="Times New Roman" w:cs="Times New Roman"/>
                <w:sz w:val="18"/>
                <w:szCs w:val="18"/>
              </w:rPr>
            </w:pPr>
            <w:r w:rsidRPr="000A7465">
              <w:rPr>
                <w:rFonts w:ascii="Times New Roman" w:hAnsi="Times New Roman" w:cs="Times New Roman"/>
                <w:b/>
                <w:sz w:val="18"/>
                <w:szCs w:val="18"/>
              </w:rPr>
              <w:t>Participants</w:t>
            </w:r>
            <w:r w:rsidRPr="000A7465">
              <w:rPr>
                <w:rFonts w:ascii="Times New Roman" w:hAnsi="Times New Roman" w:cs="Times New Roman"/>
                <w:sz w:val="18"/>
                <w:szCs w:val="18"/>
              </w:rPr>
              <w:t xml:space="preserve">: </w:t>
            </w:r>
            <w:r w:rsidRPr="000A7465">
              <w:rPr>
                <w:rFonts w:ascii="Times New Roman" w:hAnsi="Times New Roman" w:cs="Times New Roman"/>
                <w:sz w:val="18"/>
                <w:szCs w:val="18"/>
                <w:lang w:val="en-AU"/>
              </w:rPr>
              <w:t>65 teams, 1625 athletes</w:t>
            </w:r>
          </w:p>
          <w:p w14:paraId="3C4AD2FF" w14:textId="77777777" w:rsidR="008C5D47" w:rsidRPr="000A7465" w:rsidRDefault="008C5D47" w:rsidP="008C5D47">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rPr>
              <w:t>Division I or Division II NCAA collegiate male soccer teams during the Fall 2012 season</w:t>
            </w:r>
          </w:p>
          <w:p w14:paraId="7170B36E" w14:textId="7226D782" w:rsidR="008C5D47" w:rsidRPr="000A7465" w:rsidRDefault="004D364B" w:rsidP="008C5D47">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rPr>
              <w:t>M</w:t>
            </w:r>
            <w:r w:rsidR="008C5D47" w:rsidRPr="000A7465">
              <w:rPr>
                <w:rFonts w:ascii="Times New Roman" w:hAnsi="Times New Roman" w:cs="Times New Roman"/>
                <w:sz w:val="18"/>
                <w:szCs w:val="18"/>
              </w:rPr>
              <w:t xml:space="preserve">ale, between the ages of 18 and 25. They had to be academically eligible to compete in the 2012 season </w:t>
            </w:r>
          </w:p>
          <w:p w14:paraId="72307251" w14:textId="77846514" w:rsidR="008C5D47" w:rsidRPr="000A7465" w:rsidRDefault="008C5D47" w:rsidP="008C5D47">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rPr>
              <w:t xml:space="preserve">Control: </w:t>
            </w:r>
            <w:r w:rsidRPr="000A7465">
              <w:rPr>
                <w:rFonts w:ascii="Times New Roman" w:hAnsi="Times New Roman" w:cs="Times New Roman"/>
                <w:sz w:val="18"/>
                <w:szCs w:val="18"/>
                <w:lang w:val="en-AU"/>
              </w:rPr>
              <w:t>34 teams (17</w:t>
            </w:r>
            <w:r w:rsidR="004D364B" w:rsidRPr="000A7465">
              <w:rPr>
                <w:rFonts w:ascii="Times New Roman" w:hAnsi="Times New Roman" w:cs="Times New Roman"/>
                <w:sz w:val="18"/>
                <w:szCs w:val="18"/>
                <w:lang w:val="en-AU"/>
              </w:rPr>
              <w:t xml:space="preserve"> Division I and 17 D</w:t>
            </w:r>
            <w:r w:rsidRPr="000A7465">
              <w:rPr>
                <w:rFonts w:ascii="Times New Roman" w:hAnsi="Times New Roman" w:cs="Times New Roman"/>
                <w:sz w:val="18"/>
                <w:szCs w:val="18"/>
                <w:lang w:val="en-AU"/>
              </w:rPr>
              <w:t>ivision II), 850 players</w:t>
            </w:r>
          </w:p>
          <w:p w14:paraId="43A938E3" w14:textId="74430930" w:rsidR="008C5D47" w:rsidRPr="000A7465" w:rsidRDefault="008C5D47" w:rsidP="008C5D47">
            <w:pPr>
              <w:pStyle w:val="ListParagraph"/>
              <w:numPr>
                <w:ilvl w:val="1"/>
                <w:numId w:val="6"/>
              </w:numPr>
              <w:rPr>
                <w:rFonts w:ascii="Times New Roman" w:hAnsi="Times New Roman" w:cs="Times New Roman"/>
                <w:sz w:val="18"/>
                <w:szCs w:val="18"/>
              </w:rPr>
            </w:pPr>
            <w:r w:rsidRPr="000A7465">
              <w:rPr>
                <w:rFonts w:ascii="Times New Roman" w:hAnsi="Times New Roman" w:cs="Times New Roman"/>
                <w:sz w:val="18"/>
                <w:szCs w:val="18"/>
              </w:rPr>
              <w:t xml:space="preserve">Number of exposures: </w:t>
            </w:r>
            <w:r w:rsidRPr="000A7465">
              <w:rPr>
                <w:rFonts w:ascii="Times New Roman" w:hAnsi="Times New Roman" w:cs="Times New Roman"/>
                <w:sz w:val="18"/>
                <w:szCs w:val="18"/>
                <w:lang w:val="en-AU"/>
              </w:rPr>
              <w:t>44,212 (13,624 games &amp; 30,588 practices)</w:t>
            </w:r>
          </w:p>
          <w:p w14:paraId="26B246A2" w14:textId="60CC427B" w:rsidR="008C5D47" w:rsidRPr="000A7465" w:rsidRDefault="008C5D47" w:rsidP="008C5D47">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lang w:val="en-AU"/>
              </w:rPr>
              <w:t xml:space="preserve">Intervention: 31 teams (16 </w:t>
            </w:r>
            <w:r w:rsidR="004D364B" w:rsidRPr="000A7465">
              <w:rPr>
                <w:rFonts w:ascii="Times New Roman" w:hAnsi="Times New Roman" w:cs="Times New Roman"/>
                <w:sz w:val="18"/>
                <w:szCs w:val="18"/>
                <w:lang w:val="en-AU"/>
              </w:rPr>
              <w:t>Division I and 15 D</w:t>
            </w:r>
            <w:r w:rsidRPr="000A7465">
              <w:rPr>
                <w:rFonts w:ascii="Times New Roman" w:hAnsi="Times New Roman" w:cs="Times New Roman"/>
                <w:sz w:val="18"/>
                <w:szCs w:val="18"/>
                <w:lang w:val="en-AU"/>
              </w:rPr>
              <w:t>ivision II); 775 players</w:t>
            </w:r>
          </w:p>
          <w:p w14:paraId="4AC47212" w14:textId="6FB9EA21" w:rsidR="008C5D47" w:rsidRPr="000A7465" w:rsidRDefault="008C5D47" w:rsidP="008C5D47">
            <w:pPr>
              <w:pStyle w:val="ListParagraph"/>
              <w:numPr>
                <w:ilvl w:val="1"/>
                <w:numId w:val="6"/>
              </w:numPr>
              <w:rPr>
                <w:rFonts w:ascii="Times New Roman" w:hAnsi="Times New Roman" w:cs="Times New Roman"/>
                <w:sz w:val="18"/>
                <w:szCs w:val="18"/>
              </w:rPr>
            </w:pPr>
            <w:r w:rsidRPr="000A7465">
              <w:rPr>
                <w:rFonts w:ascii="Times New Roman" w:hAnsi="Times New Roman" w:cs="Times New Roman"/>
                <w:sz w:val="18"/>
                <w:szCs w:val="18"/>
                <w:lang w:val="en-AU"/>
              </w:rPr>
              <w:t xml:space="preserve"> Number of exposures: 35,226 (10,935 games &amp; 24,291 practices)</w:t>
            </w:r>
          </w:p>
          <w:p w14:paraId="6B2291BA" w14:textId="20284F70" w:rsidR="008C5D47" w:rsidRPr="000A7465" w:rsidRDefault="00D66EF6" w:rsidP="008C5D47">
            <w:pPr>
              <w:rPr>
                <w:rFonts w:ascii="Times New Roman" w:hAnsi="Times New Roman" w:cs="Times New Roman"/>
                <w:sz w:val="18"/>
                <w:szCs w:val="18"/>
              </w:rPr>
            </w:pPr>
            <w:r>
              <w:rPr>
                <w:rFonts w:ascii="Times New Roman" w:hAnsi="Times New Roman" w:cs="Times New Roman"/>
                <w:sz w:val="18"/>
                <w:szCs w:val="18"/>
              </w:rPr>
              <w:t xml:space="preserve">1 exposure </w:t>
            </w:r>
            <w:r w:rsidR="008C5D47" w:rsidRPr="000A7465">
              <w:rPr>
                <w:rFonts w:ascii="Times New Roman" w:hAnsi="Times New Roman" w:cs="Times New Roman"/>
                <w:sz w:val="18"/>
                <w:szCs w:val="18"/>
              </w:rPr>
              <w:t>= one game or practice (independent of time)</w:t>
            </w:r>
          </w:p>
          <w:p w14:paraId="29F25C8D" w14:textId="77777777" w:rsidR="008C5D47" w:rsidRPr="000A7465" w:rsidRDefault="008C5D47" w:rsidP="008C5D47">
            <w:pPr>
              <w:rPr>
                <w:rFonts w:ascii="Times New Roman" w:hAnsi="Times New Roman" w:cs="Times New Roman"/>
                <w:b/>
                <w:sz w:val="18"/>
                <w:szCs w:val="18"/>
              </w:rPr>
            </w:pPr>
          </w:p>
          <w:p w14:paraId="2020C977" w14:textId="5C93010B" w:rsidR="00AC2FF0" w:rsidRPr="000A7465" w:rsidRDefault="008C5D47" w:rsidP="008C5D47">
            <w:pPr>
              <w:rPr>
                <w:rFonts w:ascii="Times New Roman" w:hAnsi="Times New Roman" w:cs="Times New Roman"/>
                <w:sz w:val="18"/>
                <w:szCs w:val="18"/>
              </w:rPr>
            </w:pPr>
            <w:r w:rsidRPr="000A7465">
              <w:rPr>
                <w:rFonts w:ascii="Times New Roman" w:hAnsi="Times New Roman" w:cs="Times New Roman"/>
                <w:b/>
                <w:sz w:val="18"/>
                <w:szCs w:val="18"/>
              </w:rPr>
              <w:t>Study length</w:t>
            </w:r>
            <w:r w:rsidRPr="000A7465">
              <w:rPr>
                <w:rFonts w:ascii="Times New Roman" w:hAnsi="Times New Roman" w:cs="Times New Roman"/>
                <w:sz w:val="18"/>
                <w:szCs w:val="18"/>
              </w:rPr>
              <w:t xml:space="preserve">: Fall 2012 NCAA season (August-December) </w:t>
            </w:r>
          </w:p>
        </w:tc>
        <w:tc>
          <w:tcPr>
            <w:tcW w:w="4584" w:type="dxa"/>
          </w:tcPr>
          <w:p w14:paraId="25E1DBFC" w14:textId="392B0F71" w:rsidR="00004166" w:rsidRPr="000A7465" w:rsidRDefault="00004166" w:rsidP="00004166">
            <w:pPr>
              <w:rPr>
                <w:rFonts w:ascii="Times New Roman" w:hAnsi="Times New Roman" w:cs="Times New Roman"/>
                <w:b/>
                <w:sz w:val="18"/>
                <w:szCs w:val="18"/>
                <w:lang w:val="en-AU"/>
              </w:rPr>
            </w:pPr>
            <w:r w:rsidRPr="000A7465">
              <w:rPr>
                <w:rFonts w:ascii="Times New Roman" w:hAnsi="Times New Roman" w:cs="Times New Roman"/>
                <w:b/>
                <w:sz w:val="18"/>
                <w:szCs w:val="18"/>
                <w:lang w:val="en-AU"/>
              </w:rPr>
              <w:lastRenderedPageBreak/>
              <w:t xml:space="preserve">Rate ratio: </w:t>
            </w:r>
            <w:r w:rsidRPr="000A7465">
              <w:rPr>
                <w:rFonts w:ascii="Times New Roman" w:hAnsi="Times New Roman" w:cs="Times New Roman"/>
                <w:sz w:val="18"/>
                <w:szCs w:val="18"/>
                <w:lang w:val="en-AU"/>
              </w:rPr>
              <w:t xml:space="preserve">injuries per 1,000 athletic exposures </w:t>
            </w:r>
            <w:r w:rsidR="000A7465">
              <w:rPr>
                <w:rFonts w:ascii="Times New Roman" w:hAnsi="Times New Roman" w:cs="Times New Roman"/>
                <w:sz w:val="18"/>
                <w:szCs w:val="18"/>
                <w:lang w:val="en-AU"/>
              </w:rPr>
              <w:t>–</w:t>
            </w:r>
            <w:r w:rsidRPr="000A7465">
              <w:rPr>
                <w:rFonts w:ascii="Times New Roman" w:hAnsi="Times New Roman" w:cs="Times New Roman"/>
                <w:sz w:val="18"/>
                <w:szCs w:val="18"/>
                <w:lang w:val="en-AU"/>
              </w:rPr>
              <w:t xml:space="preserve"> </w:t>
            </w:r>
            <w:r w:rsidR="000A7465">
              <w:rPr>
                <w:rFonts w:ascii="Times New Roman" w:hAnsi="Times New Roman" w:cs="Times New Roman"/>
                <w:sz w:val="18"/>
                <w:szCs w:val="18"/>
                <w:lang w:val="en-AU"/>
              </w:rPr>
              <w:t>“</w:t>
            </w:r>
            <w:r w:rsidRPr="000A7465">
              <w:rPr>
                <w:rFonts w:ascii="Times New Roman" w:hAnsi="Times New Roman" w:cs="Times New Roman"/>
                <w:sz w:val="18"/>
                <w:szCs w:val="18"/>
              </w:rPr>
              <w:t>11+</w:t>
            </w:r>
            <w:r w:rsidR="000A7465">
              <w:rPr>
                <w:rFonts w:ascii="Times New Roman" w:hAnsi="Times New Roman" w:cs="Times New Roman"/>
                <w:sz w:val="18"/>
                <w:szCs w:val="18"/>
              </w:rPr>
              <w:t>”</w:t>
            </w:r>
            <w:r w:rsidRPr="000A7465">
              <w:rPr>
                <w:rFonts w:ascii="Times New Roman" w:hAnsi="Times New Roman" w:cs="Times New Roman"/>
                <w:sz w:val="18"/>
                <w:szCs w:val="18"/>
              </w:rPr>
              <w:t xml:space="preserve"> IPP versus control</w:t>
            </w:r>
          </w:p>
          <w:tbl>
            <w:tblPr>
              <w:tblStyle w:val="TableGrid"/>
              <w:tblW w:w="0" w:type="auto"/>
              <w:tblLayout w:type="fixed"/>
              <w:tblLook w:val="04A0" w:firstRow="1" w:lastRow="0" w:firstColumn="1" w:lastColumn="0" w:noHBand="0" w:noVBand="1"/>
            </w:tblPr>
            <w:tblGrid>
              <w:gridCol w:w="1146"/>
              <w:gridCol w:w="608"/>
              <w:gridCol w:w="1012"/>
              <w:gridCol w:w="990"/>
              <w:gridCol w:w="597"/>
            </w:tblGrid>
            <w:tr w:rsidR="006F16F3" w:rsidRPr="000A7465" w14:paraId="7900544E" w14:textId="0834950A" w:rsidTr="00C609F5">
              <w:tc>
                <w:tcPr>
                  <w:tcW w:w="1146" w:type="dxa"/>
                </w:tcPr>
                <w:p w14:paraId="64C12BEF" w14:textId="77777777" w:rsidR="0082174C" w:rsidRPr="000A7465" w:rsidRDefault="0082174C" w:rsidP="00A82EC1">
                  <w:pPr>
                    <w:rPr>
                      <w:rFonts w:ascii="Times New Roman" w:hAnsi="Times New Roman" w:cs="Times New Roman"/>
                      <w:b/>
                      <w:sz w:val="18"/>
                      <w:szCs w:val="18"/>
                    </w:rPr>
                  </w:pPr>
                  <w:r w:rsidRPr="000A7465">
                    <w:rPr>
                      <w:rFonts w:ascii="Times New Roman" w:hAnsi="Times New Roman" w:cs="Times New Roman"/>
                      <w:b/>
                      <w:sz w:val="18"/>
                      <w:szCs w:val="18"/>
                    </w:rPr>
                    <w:lastRenderedPageBreak/>
                    <w:t>Injury Region</w:t>
                  </w:r>
                </w:p>
              </w:tc>
              <w:tc>
                <w:tcPr>
                  <w:tcW w:w="608" w:type="dxa"/>
                </w:tcPr>
                <w:p w14:paraId="61BF6469" w14:textId="53CA8A71" w:rsidR="0082174C" w:rsidRPr="000A7465" w:rsidRDefault="0082174C" w:rsidP="00A82EC1">
                  <w:pPr>
                    <w:rPr>
                      <w:rFonts w:ascii="Times New Roman" w:hAnsi="Times New Roman" w:cs="Times New Roman"/>
                      <w:b/>
                      <w:sz w:val="18"/>
                      <w:szCs w:val="18"/>
                    </w:rPr>
                  </w:pPr>
                  <w:r w:rsidRPr="000A7465">
                    <w:rPr>
                      <w:rFonts w:ascii="Times New Roman" w:hAnsi="Times New Roman" w:cs="Times New Roman"/>
                      <w:b/>
                      <w:sz w:val="18"/>
                      <w:szCs w:val="18"/>
                    </w:rPr>
                    <w:t>RR</w:t>
                  </w:r>
                </w:p>
              </w:tc>
              <w:tc>
                <w:tcPr>
                  <w:tcW w:w="1012" w:type="dxa"/>
                </w:tcPr>
                <w:p w14:paraId="067C0244" w14:textId="77777777" w:rsidR="0082174C" w:rsidRPr="000A7465" w:rsidRDefault="0082174C" w:rsidP="00A82EC1">
                  <w:pPr>
                    <w:rPr>
                      <w:rFonts w:ascii="Times New Roman" w:hAnsi="Times New Roman" w:cs="Times New Roman"/>
                      <w:b/>
                      <w:sz w:val="18"/>
                      <w:szCs w:val="18"/>
                    </w:rPr>
                  </w:pPr>
                  <w:r w:rsidRPr="000A7465">
                    <w:rPr>
                      <w:rFonts w:ascii="Times New Roman" w:hAnsi="Times New Roman" w:cs="Times New Roman"/>
                      <w:b/>
                      <w:sz w:val="18"/>
                      <w:szCs w:val="18"/>
                    </w:rPr>
                    <w:t>95% CI</w:t>
                  </w:r>
                </w:p>
              </w:tc>
              <w:tc>
                <w:tcPr>
                  <w:tcW w:w="990" w:type="dxa"/>
                </w:tcPr>
                <w:p w14:paraId="5E6F9051" w14:textId="77777777" w:rsidR="0082174C" w:rsidRPr="000A7465" w:rsidRDefault="0082174C" w:rsidP="00A82EC1">
                  <w:pPr>
                    <w:rPr>
                      <w:rFonts w:ascii="Times New Roman" w:hAnsi="Times New Roman" w:cs="Times New Roman"/>
                      <w:b/>
                      <w:sz w:val="18"/>
                      <w:szCs w:val="18"/>
                    </w:rPr>
                  </w:pPr>
                  <w:r w:rsidRPr="000A7465">
                    <w:rPr>
                      <w:rFonts w:ascii="Times New Roman" w:hAnsi="Times New Roman" w:cs="Times New Roman"/>
                      <w:b/>
                      <w:sz w:val="18"/>
                      <w:szCs w:val="18"/>
                    </w:rPr>
                    <w:t>p value</w:t>
                  </w:r>
                </w:p>
              </w:tc>
              <w:tc>
                <w:tcPr>
                  <w:tcW w:w="597" w:type="dxa"/>
                </w:tcPr>
                <w:p w14:paraId="64466557" w14:textId="4F917F13" w:rsidR="0082174C" w:rsidRPr="000A7465" w:rsidRDefault="0082174C" w:rsidP="00A82EC1">
                  <w:pPr>
                    <w:rPr>
                      <w:rFonts w:ascii="Times New Roman" w:hAnsi="Times New Roman" w:cs="Times New Roman"/>
                      <w:b/>
                      <w:sz w:val="18"/>
                      <w:szCs w:val="18"/>
                    </w:rPr>
                  </w:pPr>
                  <w:r w:rsidRPr="000A7465">
                    <w:rPr>
                      <w:rFonts w:ascii="Times New Roman" w:hAnsi="Times New Roman" w:cs="Times New Roman"/>
                      <w:b/>
                      <w:sz w:val="18"/>
                      <w:szCs w:val="18"/>
                    </w:rPr>
                    <w:t>NNT</w:t>
                  </w:r>
                </w:p>
              </w:tc>
            </w:tr>
            <w:tr w:rsidR="006F16F3" w:rsidRPr="000A7465" w14:paraId="7925FE29" w14:textId="7BAAAA18" w:rsidTr="00C609F5">
              <w:trPr>
                <w:trHeight w:val="179"/>
              </w:trPr>
              <w:tc>
                <w:tcPr>
                  <w:tcW w:w="1146" w:type="dxa"/>
                </w:tcPr>
                <w:p w14:paraId="1CAF2F39" w14:textId="09AC6803" w:rsidR="0082174C" w:rsidRPr="000A7465" w:rsidRDefault="0082174C" w:rsidP="00A82EC1">
                  <w:pPr>
                    <w:rPr>
                      <w:rFonts w:ascii="Times New Roman" w:hAnsi="Times New Roman" w:cs="Times New Roman"/>
                      <w:sz w:val="18"/>
                      <w:szCs w:val="18"/>
                    </w:rPr>
                  </w:pPr>
                  <w:r w:rsidRPr="000A7465">
                    <w:rPr>
                      <w:rFonts w:ascii="Times New Roman" w:hAnsi="Times New Roman" w:cs="Times New Roman"/>
                      <w:sz w:val="18"/>
                      <w:szCs w:val="18"/>
                    </w:rPr>
                    <w:t>All injuries</w:t>
                  </w:r>
                </w:p>
              </w:tc>
              <w:tc>
                <w:tcPr>
                  <w:tcW w:w="608" w:type="dxa"/>
                </w:tcPr>
                <w:p w14:paraId="07B34CFE" w14:textId="36E00B0A" w:rsidR="0082174C" w:rsidRPr="000A7465" w:rsidRDefault="0082174C" w:rsidP="00A82EC1">
                  <w:pPr>
                    <w:rPr>
                      <w:rFonts w:ascii="Times New Roman" w:hAnsi="Times New Roman" w:cs="Times New Roman"/>
                      <w:sz w:val="18"/>
                      <w:szCs w:val="18"/>
                    </w:rPr>
                  </w:pPr>
                  <w:r w:rsidRPr="000A7465">
                    <w:rPr>
                      <w:rFonts w:ascii="Times New Roman" w:hAnsi="Times New Roman" w:cs="Times New Roman"/>
                      <w:sz w:val="18"/>
                      <w:szCs w:val="18"/>
                    </w:rPr>
                    <w:t>0.54</w:t>
                  </w:r>
                </w:p>
              </w:tc>
              <w:tc>
                <w:tcPr>
                  <w:tcW w:w="1012" w:type="dxa"/>
                </w:tcPr>
                <w:p w14:paraId="049D50FE" w14:textId="431FF0CD" w:rsidR="0082174C" w:rsidRPr="000A7465" w:rsidRDefault="0082174C" w:rsidP="00A82EC1">
                  <w:pPr>
                    <w:rPr>
                      <w:rFonts w:ascii="Times New Roman" w:hAnsi="Times New Roman" w:cs="Times New Roman"/>
                      <w:sz w:val="18"/>
                      <w:szCs w:val="18"/>
                    </w:rPr>
                  </w:pPr>
                  <w:r w:rsidRPr="000A7465">
                    <w:rPr>
                      <w:rFonts w:ascii="Times New Roman" w:hAnsi="Times New Roman" w:cs="Times New Roman"/>
                      <w:sz w:val="18"/>
                      <w:szCs w:val="18"/>
                    </w:rPr>
                    <w:t>0.49-0.59</w:t>
                  </w:r>
                </w:p>
              </w:tc>
              <w:tc>
                <w:tcPr>
                  <w:tcW w:w="990" w:type="dxa"/>
                </w:tcPr>
                <w:p w14:paraId="2238D3E7" w14:textId="7CABCA75" w:rsidR="0082174C" w:rsidRPr="000A7465" w:rsidRDefault="0082174C" w:rsidP="00A82EC1">
                  <w:pPr>
                    <w:rPr>
                      <w:rFonts w:ascii="Times New Roman" w:hAnsi="Times New Roman" w:cs="Times New Roman"/>
                      <w:sz w:val="18"/>
                      <w:szCs w:val="18"/>
                    </w:rPr>
                  </w:pPr>
                  <w:r w:rsidRPr="000A7465">
                    <w:rPr>
                      <w:rFonts w:ascii="Times New Roman" w:hAnsi="Times New Roman" w:cs="Times New Roman"/>
                      <w:sz w:val="18"/>
                      <w:szCs w:val="18"/>
                    </w:rPr>
                    <w:t>p &lt;0.001*</w:t>
                  </w:r>
                </w:p>
              </w:tc>
              <w:tc>
                <w:tcPr>
                  <w:tcW w:w="597" w:type="dxa"/>
                </w:tcPr>
                <w:p w14:paraId="5D4C65B6" w14:textId="4C62B4B4" w:rsidR="0082174C" w:rsidRPr="000A7465" w:rsidRDefault="007B6FEF" w:rsidP="00A82EC1">
                  <w:pPr>
                    <w:rPr>
                      <w:rFonts w:ascii="Times New Roman" w:hAnsi="Times New Roman" w:cs="Times New Roman"/>
                      <w:sz w:val="18"/>
                      <w:szCs w:val="18"/>
                    </w:rPr>
                  </w:pPr>
                  <w:r w:rsidRPr="000A7465">
                    <w:rPr>
                      <w:rFonts w:ascii="Times New Roman" w:hAnsi="Times New Roman" w:cs="Times New Roman"/>
                      <w:sz w:val="18"/>
                      <w:szCs w:val="18"/>
                    </w:rPr>
                    <w:t>2.64</w:t>
                  </w:r>
                </w:p>
              </w:tc>
            </w:tr>
            <w:tr w:rsidR="006F16F3" w:rsidRPr="000A7465" w14:paraId="2BA74640" w14:textId="56E6CEDB" w:rsidTr="00C609F5">
              <w:trPr>
                <w:trHeight w:val="170"/>
              </w:trPr>
              <w:tc>
                <w:tcPr>
                  <w:tcW w:w="1146" w:type="dxa"/>
                </w:tcPr>
                <w:p w14:paraId="41946268" w14:textId="743D272C" w:rsidR="0082174C" w:rsidRPr="000A7465" w:rsidRDefault="006F16F3" w:rsidP="00A82EC1">
                  <w:pPr>
                    <w:rPr>
                      <w:rFonts w:ascii="Times New Roman" w:hAnsi="Times New Roman" w:cs="Times New Roman"/>
                      <w:sz w:val="18"/>
                      <w:szCs w:val="18"/>
                    </w:rPr>
                  </w:pPr>
                  <w:r w:rsidRPr="000A7465">
                    <w:rPr>
                      <w:rFonts w:ascii="Times New Roman" w:hAnsi="Times New Roman" w:cs="Times New Roman"/>
                      <w:sz w:val="18"/>
                      <w:szCs w:val="18"/>
                    </w:rPr>
                    <w:t>Ankle</w:t>
                  </w:r>
                </w:p>
              </w:tc>
              <w:tc>
                <w:tcPr>
                  <w:tcW w:w="608" w:type="dxa"/>
                </w:tcPr>
                <w:p w14:paraId="748FFED4" w14:textId="59F8D7FB" w:rsidR="0082174C" w:rsidRPr="000A7465" w:rsidRDefault="006F16F3" w:rsidP="00A82EC1">
                  <w:pPr>
                    <w:rPr>
                      <w:rFonts w:ascii="Times New Roman" w:hAnsi="Times New Roman" w:cs="Times New Roman"/>
                      <w:sz w:val="18"/>
                      <w:szCs w:val="18"/>
                    </w:rPr>
                  </w:pPr>
                  <w:r w:rsidRPr="000A7465">
                    <w:rPr>
                      <w:rFonts w:ascii="Times New Roman" w:hAnsi="Times New Roman" w:cs="Times New Roman"/>
                      <w:sz w:val="18"/>
                      <w:szCs w:val="18"/>
                    </w:rPr>
                    <w:t>0.65</w:t>
                  </w:r>
                </w:p>
              </w:tc>
              <w:tc>
                <w:tcPr>
                  <w:tcW w:w="1012" w:type="dxa"/>
                </w:tcPr>
                <w:p w14:paraId="532FFD0E" w14:textId="42C62CB3" w:rsidR="0082174C" w:rsidRPr="000A7465" w:rsidRDefault="006F16F3" w:rsidP="00A82EC1">
                  <w:pPr>
                    <w:rPr>
                      <w:rFonts w:ascii="Times New Roman" w:hAnsi="Times New Roman" w:cs="Times New Roman"/>
                      <w:sz w:val="18"/>
                      <w:szCs w:val="18"/>
                    </w:rPr>
                  </w:pPr>
                  <w:r w:rsidRPr="000A7465">
                    <w:rPr>
                      <w:rFonts w:ascii="Times New Roman" w:hAnsi="Times New Roman" w:cs="Times New Roman"/>
                      <w:sz w:val="18"/>
                      <w:szCs w:val="18"/>
                    </w:rPr>
                    <w:t>0.48-0.87</w:t>
                  </w:r>
                </w:p>
              </w:tc>
              <w:tc>
                <w:tcPr>
                  <w:tcW w:w="990" w:type="dxa"/>
                </w:tcPr>
                <w:p w14:paraId="730BED9B" w14:textId="47ADA2A6" w:rsidR="0082174C" w:rsidRPr="000A7465" w:rsidRDefault="0082174C" w:rsidP="00A82EC1">
                  <w:pPr>
                    <w:rPr>
                      <w:rFonts w:ascii="Times New Roman" w:hAnsi="Times New Roman" w:cs="Times New Roman"/>
                      <w:sz w:val="18"/>
                      <w:szCs w:val="18"/>
                    </w:rPr>
                  </w:pPr>
                </w:p>
              </w:tc>
              <w:tc>
                <w:tcPr>
                  <w:tcW w:w="597" w:type="dxa"/>
                </w:tcPr>
                <w:p w14:paraId="6F9A9C4B" w14:textId="6B45890D" w:rsidR="0082174C" w:rsidRPr="000A7465" w:rsidRDefault="006F16F3" w:rsidP="00A82EC1">
                  <w:pPr>
                    <w:rPr>
                      <w:rFonts w:ascii="Times New Roman" w:hAnsi="Times New Roman" w:cs="Times New Roman"/>
                      <w:sz w:val="18"/>
                      <w:szCs w:val="18"/>
                    </w:rPr>
                  </w:pPr>
                  <w:r w:rsidRPr="000A7465">
                    <w:rPr>
                      <w:rFonts w:ascii="Times New Roman" w:hAnsi="Times New Roman" w:cs="Times New Roman"/>
                      <w:sz w:val="18"/>
                      <w:szCs w:val="18"/>
                    </w:rPr>
                    <w:t>21</w:t>
                  </w:r>
                </w:p>
              </w:tc>
            </w:tr>
            <w:tr w:rsidR="006F16F3" w:rsidRPr="000A7465" w14:paraId="2D2FE595" w14:textId="196AE94D" w:rsidTr="00C609F5">
              <w:trPr>
                <w:trHeight w:val="165"/>
              </w:trPr>
              <w:tc>
                <w:tcPr>
                  <w:tcW w:w="1146" w:type="dxa"/>
                </w:tcPr>
                <w:p w14:paraId="4B3ED14D" w14:textId="6DBAF741" w:rsidR="0082174C" w:rsidRPr="000A7465" w:rsidRDefault="006F16F3" w:rsidP="00A82EC1">
                  <w:pPr>
                    <w:rPr>
                      <w:rFonts w:ascii="Times New Roman" w:hAnsi="Times New Roman" w:cs="Times New Roman"/>
                      <w:sz w:val="18"/>
                      <w:szCs w:val="18"/>
                    </w:rPr>
                  </w:pPr>
                  <w:r w:rsidRPr="000A7465">
                    <w:rPr>
                      <w:rFonts w:ascii="Times New Roman" w:hAnsi="Times New Roman" w:cs="Times New Roman"/>
                      <w:sz w:val="18"/>
                      <w:szCs w:val="18"/>
                    </w:rPr>
                    <w:t>Knee</w:t>
                  </w:r>
                </w:p>
              </w:tc>
              <w:tc>
                <w:tcPr>
                  <w:tcW w:w="608" w:type="dxa"/>
                </w:tcPr>
                <w:p w14:paraId="43F05ED3" w14:textId="496D7539" w:rsidR="0082174C" w:rsidRPr="000A7465" w:rsidRDefault="006F16F3" w:rsidP="00A82EC1">
                  <w:pPr>
                    <w:rPr>
                      <w:rFonts w:ascii="Times New Roman" w:hAnsi="Times New Roman" w:cs="Times New Roman"/>
                      <w:sz w:val="18"/>
                      <w:szCs w:val="18"/>
                    </w:rPr>
                  </w:pPr>
                  <w:r w:rsidRPr="000A7465">
                    <w:rPr>
                      <w:rFonts w:ascii="Times New Roman" w:hAnsi="Times New Roman" w:cs="Times New Roman"/>
                      <w:sz w:val="18"/>
                      <w:szCs w:val="18"/>
                    </w:rPr>
                    <w:t>0.42</w:t>
                  </w:r>
                </w:p>
              </w:tc>
              <w:tc>
                <w:tcPr>
                  <w:tcW w:w="1012" w:type="dxa"/>
                </w:tcPr>
                <w:p w14:paraId="7772950C" w14:textId="035F7CAB" w:rsidR="0082174C" w:rsidRPr="000A7465" w:rsidRDefault="006F16F3" w:rsidP="00A82EC1">
                  <w:pPr>
                    <w:rPr>
                      <w:rFonts w:ascii="Times New Roman" w:hAnsi="Times New Roman" w:cs="Times New Roman"/>
                      <w:sz w:val="18"/>
                      <w:szCs w:val="18"/>
                    </w:rPr>
                  </w:pPr>
                  <w:r w:rsidRPr="000A7465">
                    <w:rPr>
                      <w:rFonts w:ascii="Times New Roman" w:hAnsi="Times New Roman" w:cs="Times New Roman"/>
                      <w:sz w:val="18"/>
                      <w:szCs w:val="18"/>
                    </w:rPr>
                    <w:t>0.29-0.61</w:t>
                  </w:r>
                </w:p>
              </w:tc>
              <w:tc>
                <w:tcPr>
                  <w:tcW w:w="990" w:type="dxa"/>
                </w:tcPr>
                <w:p w14:paraId="01CCE9BF" w14:textId="3EBE9B8B" w:rsidR="0082174C" w:rsidRPr="000A7465" w:rsidRDefault="0082174C" w:rsidP="006F16F3">
                  <w:pPr>
                    <w:rPr>
                      <w:rFonts w:ascii="Times New Roman" w:hAnsi="Times New Roman" w:cs="Times New Roman"/>
                      <w:sz w:val="18"/>
                      <w:szCs w:val="18"/>
                    </w:rPr>
                  </w:pPr>
                </w:p>
              </w:tc>
              <w:tc>
                <w:tcPr>
                  <w:tcW w:w="597" w:type="dxa"/>
                </w:tcPr>
                <w:p w14:paraId="3584F2C9" w14:textId="013E4C0B" w:rsidR="0082174C" w:rsidRPr="000A7465" w:rsidRDefault="006F16F3" w:rsidP="00A82EC1">
                  <w:pPr>
                    <w:rPr>
                      <w:rFonts w:ascii="Times New Roman" w:hAnsi="Times New Roman" w:cs="Times New Roman"/>
                      <w:sz w:val="18"/>
                      <w:szCs w:val="18"/>
                    </w:rPr>
                  </w:pPr>
                  <w:r w:rsidRPr="000A7465">
                    <w:rPr>
                      <w:rFonts w:ascii="Times New Roman" w:hAnsi="Times New Roman" w:cs="Times New Roman"/>
                      <w:sz w:val="18"/>
                      <w:szCs w:val="18"/>
                    </w:rPr>
                    <w:t>14</w:t>
                  </w:r>
                </w:p>
              </w:tc>
            </w:tr>
            <w:tr w:rsidR="006F16F3" w:rsidRPr="000A7465" w14:paraId="750D21AD" w14:textId="4862CB42" w:rsidTr="00C609F5">
              <w:tc>
                <w:tcPr>
                  <w:tcW w:w="1146" w:type="dxa"/>
                </w:tcPr>
                <w:p w14:paraId="21874A84" w14:textId="14132284" w:rsidR="0082174C" w:rsidRPr="000A7465" w:rsidRDefault="006F16F3" w:rsidP="00A82EC1">
                  <w:pPr>
                    <w:rPr>
                      <w:rFonts w:ascii="Times New Roman" w:hAnsi="Times New Roman" w:cs="Times New Roman"/>
                      <w:sz w:val="18"/>
                      <w:szCs w:val="18"/>
                    </w:rPr>
                  </w:pPr>
                  <w:r w:rsidRPr="000A7465">
                    <w:rPr>
                      <w:rFonts w:ascii="Times New Roman" w:hAnsi="Times New Roman" w:cs="Times New Roman"/>
                      <w:sz w:val="18"/>
                      <w:szCs w:val="18"/>
                    </w:rPr>
                    <w:t>Hip</w:t>
                  </w:r>
                </w:p>
              </w:tc>
              <w:tc>
                <w:tcPr>
                  <w:tcW w:w="608" w:type="dxa"/>
                </w:tcPr>
                <w:p w14:paraId="5E427C13" w14:textId="7033A67B" w:rsidR="0082174C" w:rsidRPr="000A7465" w:rsidRDefault="006F16F3" w:rsidP="00A82EC1">
                  <w:pPr>
                    <w:rPr>
                      <w:rFonts w:ascii="Times New Roman" w:hAnsi="Times New Roman" w:cs="Times New Roman"/>
                      <w:sz w:val="18"/>
                      <w:szCs w:val="18"/>
                    </w:rPr>
                  </w:pPr>
                  <w:r w:rsidRPr="000A7465">
                    <w:rPr>
                      <w:rFonts w:ascii="Times New Roman" w:hAnsi="Times New Roman" w:cs="Times New Roman"/>
                      <w:sz w:val="18"/>
                      <w:szCs w:val="18"/>
                    </w:rPr>
                    <w:t>0.45</w:t>
                  </w:r>
                </w:p>
              </w:tc>
              <w:tc>
                <w:tcPr>
                  <w:tcW w:w="1012" w:type="dxa"/>
                </w:tcPr>
                <w:p w14:paraId="379EC1BD" w14:textId="26E6089E" w:rsidR="0082174C" w:rsidRPr="000A7465" w:rsidRDefault="006F16F3" w:rsidP="00A82EC1">
                  <w:pPr>
                    <w:rPr>
                      <w:rFonts w:ascii="Times New Roman" w:hAnsi="Times New Roman" w:cs="Times New Roman"/>
                      <w:sz w:val="18"/>
                      <w:szCs w:val="18"/>
                    </w:rPr>
                  </w:pPr>
                  <w:r w:rsidRPr="000A7465">
                    <w:rPr>
                      <w:rFonts w:ascii="Times New Roman" w:hAnsi="Times New Roman" w:cs="Times New Roman"/>
                      <w:sz w:val="18"/>
                      <w:szCs w:val="18"/>
                    </w:rPr>
                    <w:t>0.26-0.79</w:t>
                  </w:r>
                </w:p>
              </w:tc>
              <w:tc>
                <w:tcPr>
                  <w:tcW w:w="990" w:type="dxa"/>
                </w:tcPr>
                <w:p w14:paraId="607B4B85" w14:textId="61E55D54" w:rsidR="0082174C" w:rsidRPr="000A7465" w:rsidRDefault="0082174C" w:rsidP="00A82EC1">
                  <w:pPr>
                    <w:rPr>
                      <w:rFonts w:ascii="Times New Roman" w:hAnsi="Times New Roman" w:cs="Times New Roman"/>
                      <w:sz w:val="18"/>
                      <w:szCs w:val="18"/>
                    </w:rPr>
                  </w:pPr>
                </w:p>
              </w:tc>
              <w:tc>
                <w:tcPr>
                  <w:tcW w:w="597" w:type="dxa"/>
                </w:tcPr>
                <w:p w14:paraId="111C6C56" w14:textId="373A47BE" w:rsidR="0082174C" w:rsidRPr="000A7465" w:rsidRDefault="006F16F3" w:rsidP="00A82EC1">
                  <w:pPr>
                    <w:rPr>
                      <w:rFonts w:ascii="Times New Roman" w:hAnsi="Times New Roman" w:cs="Times New Roman"/>
                      <w:sz w:val="18"/>
                      <w:szCs w:val="18"/>
                    </w:rPr>
                  </w:pPr>
                  <w:r w:rsidRPr="000A7465">
                    <w:rPr>
                      <w:rFonts w:ascii="Times New Roman" w:hAnsi="Times New Roman" w:cs="Times New Roman"/>
                      <w:sz w:val="18"/>
                      <w:szCs w:val="18"/>
                    </w:rPr>
                    <w:t>34</w:t>
                  </w:r>
                </w:p>
              </w:tc>
            </w:tr>
            <w:tr w:rsidR="006F16F3" w:rsidRPr="000A7465" w14:paraId="6E4B39A8" w14:textId="0A74CC0E" w:rsidTr="00C609F5">
              <w:trPr>
                <w:trHeight w:val="188"/>
              </w:trPr>
              <w:tc>
                <w:tcPr>
                  <w:tcW w:w="1146" w:type="dxa"/>
                </w:tcPr>
                <w:p w14:paraId="13D1ED6D" w14:textId="7D7245D6" w:rsidR="0082174C" w:rsidRPr="000A7465" w:rsidRDefault="006F16F3" w:rsidP="006F16F3">
                  <w:pPr>
                    <w:tabs>
                      <w:tab w:val="left" w:pos="791"/>
                    </w:tabs>
                    <w:rPr>
                      <w:rFonts w:ascii="Times New Roman" w:hAnsi="Times New Roman" w:cs="Times New Roman"/>
                      <w:sz w:val="18"/>
                      <w:szCs w:val="18"/>
                    </w:rPr>
                  </w:pPr>
                  <w:r w:rsidRPr="000A7465">
                    <w:rPr>
                      <w:rFonts w:ascii="Times New Roman" w:hAnsi="Times New Roman" w:cs="Times New Roman"/>
                      <w:sz w:val="18"/>
                      <w:szCs w:val="18"/>
                    </w:rPr>
                    <w:t>Head</w:t>
                  </w:r>
                </w:p>
              </w:tc>
              <w:tc>
                <w:tcPr>
                  <w:tcW w:w="608" w:type="dxa"/>
                </w:tcPr>
                <w:p w14:paraId="778E2092" w14:textId="7EF3AFEF" w:rsidR="0082174C" w:rsidRPr="000A7465" w:rsidRDefault="006F16F3" w:rsidP="00A82EC1">
                  <w:pPr>
                    <w:rPr>
                      <w:rFonts w:ascii="Times New Roman" w:hAnsi="Times New Roman" w:cs="Times New Roman"/>
                      <w:sz w:val="18"/>
                      <w:szCs w:val="18"/>
                    </w:rPr>
                  </w:pPr>
                  <w:r w:rsidRPr="000A7465">
                    <w:rPr>
                      <w:rFonts w:ascii="Times New Roman" w:hAnsi="Times New Roman" w:cs="Times New Roman"/>
                      <w:sz w:val="18"/>
                      <w:szCs w:val="18"/>
                    </w:rPr>
                    <w:t>0.64</w:t>
                  </w:r>
                </w:p>
              </w:tc>
              <w:tc>
                <w:tcPr>
                  <w:tcW w:w="1012" w:type="dxa"/>
                </w:tcPr>
                <w:p w14:paraId="2284872A" w14:textId="61E9CBC4" w:rsidR="0082174C" w:rsidRPr="000A7465" w:rsidRDefault="006F16F3" w:rsidP="00A82EC1">
                  <w:pPr>
                    <w:rPr>
                      <w:rFonts w:ascii="Times New Roman" w:hAnsi="Times New Roman" w:cs="Times New Roman"/>
                      <w:sz w:val="18"/>
                      <w:szCs w:val="18"/>
                    </w:rPr>
                  </w:pPr>
                  <w:r w:rsidRPr="000A7465">
                    <w:rPr>
                      <w:rFonts w:ascii="Times New Roman" w:hAnsi="Times New Roman" w:cs="Times New Roman"/>
                      <w:sz w:val="18"/>
                      <w:szCs w:val="18"/>
                    </w:rPr>
                    <w:t>0.42-0.97</w:t>
                  </w:r>
                </w:p>
              </w:tc>
              <w:tc>
                <w:tcPr>
                  <w:tcW w:w="990" w:type="dxa"/>
                </w:tcPr>
                <w:p w14:paraId="51420F21" w14:textId="613B1989" w:rsidR="0082174C" w:rsidRPr="000A7465" w:rsidRDefault="0082174C" w:rsidP="00A82EC1">
                  <w:pPr>
                    <w:rPr>
                      <w:rFonts w:ascii="Times New Roman" w:hAnsi="Times New Roman" w:cs="Times New Roman"/>
                      <w:sz w:val="18"/>
                      <w:szCs w:val="18"/>
                    </w:rPr>
                  </w:pPr>
                </w:p>
              </w:tc>
              <w:tc>
                <w:tcPr>
                  <w:tcW w:w="597" w:type="dxa"/>
                </w:tcPr>
                <w:p w14:paraId="3DC4DA07" w14:textId="334F75DC" w:rsidR="0082174C" w:rsidRPr="000A7465" w:rsidRDefault="006F16F3" w:rsidP="00A82EC1">
                  <w:pPr>
                    <w:rPr>
                      <w:rFonts w:ascii="Times New Roman" w:hAnsi="Times New Roman" w:cs="Times New Roman"/>
                      <w:sz w:val="18"/>
                      <w:szCs w:val="18"/>
                    </w:rPr>
                  </w:pPr>
                  <w:r w:rsidRPr="000A7465">
                    <w:rPr>
                      <w:rFonts w:ascii="Times New Roman" w:hAnsi="Times New Roman" w:cs="Times New Roman"/>
                      <w:sz w:val="18"/>
                      <w:szCs w:val="18"/>
                    </w:rPr>
                    <w:t>39</w:t>
                  </w:r>
                </w:p>
              </w:tc>
            </w:tr>
            <w:tr w:rsidR="005A33B7" w:rsidRPr="000A7465" w14:paraId="6B6D54DA" w14:textId="77777777" w:rsidTr="00C609F5">
              <w:trPr>
                <w:trHeight w:val="179"/>
              </w:trPr>
              <w:tc>
                <w:tcPr>
                  <w:tcW w:w="1146" w:type="dxa"/>
                </w:tcPr>
                <w:p w14:paraId="4C82E36F" w14:textId="5C5D24C2" w:rsidR="005A33B7" w:rsidRPr="000A7465" w:rsidRDefault="005A33B7" w:rsidP="006F16F3">
                  <w:pPr>
                    <w:tabs>
                      <w:tab w:val="left" w:pos="791"/>
                    </w:tabs>
                    <w:rPr>
                      <w:rFonts w:ascii="Times New Roman" w:hAnsi="Times New Roman" w:cs="Times New Roman"/>
                      <w:sz w:val="18"/>
                      <w:szCs w:val="18"/>
                    </w:rPr>
                  </w:pPr>
                  <w:r w:rsidRPr="000A7465">
                    <w:rPr>
                      <w:rFonts w:ascii="Times New Roman" w:hAnsi="Times New Roman" w:cs="Times New Roman"/>
                      <w:sz w:val="18"/>
                      <w:szCs w:val="18"/>
                    </w:rPr>
                    <w:t>ACL injury</w:t>
                  </w:r>
                </w:p>
              </w:tc>
              <w:tc>
                <w:tcPr>
                  <w:tcW w:w="608" w:type="dxa"/>
                </w:tcPr>
                <w:p w14:paraId="545BFA6E" w14:textId="52AC316F" w:rsidR="005A33B7" w:rsidRPr="000A7465" w:rsidRDefault="000A7465" w:rsidP="00A82EC1">
                  <w:pPr>
                    <w:rPr>
                      <w:rFonts w:ascii="Times New Roman" w:hAnsi="Times New Roman" w:cs="Times New Roman"/>
                      <w:sz w:val="18"/>
                      <w:szCs w:val="18"/>
                    </w:rPr>
                  </w:pPr>
                  <w:r>
                    <w:rPr>
                      <w:rFonts w:ascii="Times New Roman" w:hAnsi="Times New Roman" w:cs="Times New Roman"/>
                      <w:sz w:val="18"/>
                      <w:szCs w:val="18"/>
                    </w:rPr>
                    <w:t>0.24</w:t>
                  </w:r>
                </w:p>
              </w:tc>
              <w:tc>
                <w:tcPr>
                  <w:tcW w:w="1012" w:type="dxa"/>
                </w:tcPr>
                <w:p w14:paraId="67A33762" w14:textId="570B355B" w:rsidR="005A33B7" w:rsidRPr="000A7465" w:rsidRDefault="005A33B7" w:rsidP="00A82EC1">
                  <w:pPr>
                    <w:rPr>
                      <w:rFonts w:ascii="Times New Roman" w:hAnsi="Times New Roman" w:cs="Times New Roman"/>
                      <w:sz w:val="18"/>
                      <w:szCs w:val="18"/>
                    </w:rPr>
                  </w:pPr>
                  <w:r w:rsidRPr="000A7465">
                    <w:rPr>
                      <w:rFonts w:ascii="Times New Roman" w:hAnsi="Times New Roman" w:cs="Times New Roman"/>
                      <w:sz w:val="18"/>
                      <w:szCs w:val="18"/>
                    </w:rPr>
                    <w:t>0.19-0.93</w:t>
                  </w:r>
                </w:p>
              </w:tc>
              <w:tc>
                <w:tcPr>
                  <w:tcW w:w="990" w:type="dxa"/>
                </w:tcPr>
                <w:p w14:paraId="7B909A3E" w14:textId="0C4EE4C8" w:rsidR="005A33B7" w:rsidRPr="000A7465" w:rsidRDefault="005A33B7" w:rsidP="00A82EC1">
                  <w:pPr>
                    <w:rPr>
                      <w:rFonts w:ascii="Times New Roman" w:hAnsi="Times New Roman" w:cs="Times New Roman"/>
                      <w:sz w:val="18"/>
                      <w:szCs w:val="18"/>
                    </w:rPr>
                  </w:pPr>
                  <w:r w:rsidRPr="000A7465">
                    <w:rPr>
                      <w:rFonts w:ascii="Times New Roman" w:hAnsi="Times New Roman" w:cs="Times New Roman"/>
                      <w:sz w:val="18"/>
                      <w:szCs w:val="18"/>
                    </w:rPr>
                    <w:t>p &lt;0.001*</w:t>
                  </w:r>
                </w:p>
              </w:tc>
              <w:tc>
                <w:tcPr>
                  <w:tcW w:w="597" w:type="dxa"/>
                </w:tcPr>
                <w:p w14:paraId="757A2F16" w14:textId="49AB7917" w:rsidR="005A33B7" w:rsidRPr="000A7465" w:rsidRDefault="005A33B7" w:rsidP="00A82EC1">
                  <w:pPr>
                    <w:rPr>
                      <w:rFonts w:ascii="Times New Roman" w:hAnsi="Times New Roman" w:cs="Times New Roman"/>
                      <w:sz w:val="18"/>
                      <w:szCs w:val="18"/>
                    </w:rPr>
                  </w:pPr>
                  <w:r w:rsidRPr="000A7465">
                    <w:rPr>
                      <w:rFonts w:ascii="Times New Roman" w:hAnsi="Times New Roman" w:cs="Times New Roman"/>
                      <w:sz w:val="18"/>
                      <w:szCs w:val="18"/>
                    </w:rPr>
                    <w:t>70</w:t>
                  </w:r>
                </w:p>
              </w:tc>
            </w:tr>
          </w:tbl>
          <w:p w14:paraId="10D000EE" w14:textId="77777777" w:rsidR="00004166" w:rsidRPr="000A7465" w:rsidRDefault="00004166">
            <w:pPr>
              <w:rPr>
                <w:rFonts w:ascii="Times New Roman" w:hAnsi="Times New Roman" w:cs="Times New Roman"/>
                <w:sz w:val="18"/>
                <w:szCs w:val="18"/>
              </w:rPr>
            </w:pPr>
          </w:p>
          <w:p w14:paraId="73088C6C" w14:textId="2FB39D9A" w:rsidR="009C1AC8" w:rsidRPr="000A7465" w:rsidRDefault="009C1AC8" w:rsidP="009C1AC8">
            <w:pPr>
              <w:rPr>
                <w:rFonts w:ascii="Times New Roman" w:hAnsi="Times New Roman" w:cs="Times New Roman"/>
                <w:sz w:val="18"/>
                <w:szCs w:val="18"/>
              </w:rPr>
            </w:pPr>
            <w:r w:rsidRPr="000A7465">
              <w:rPr>
                <w:rFonts w:ascii="Times New Roman" w:hAnsi="Times New Roman" w:cs="Times New Roman"/>
                <w:b/>
                <w:sz w:val="18"/>
                <w:szCs w:val="18"/>
              </w:rPr>
              <w:t>Days missed due to injury</w:t>
            </w:r>
            <w:r w:rsidRPr="000A7465">
              <w:rPr>
                <w:rFonts w:ascii="Times New Roman" w:hAnsi="Times New Roman" w:cs="Times New Roman"/>
                <w:sz w:val="18"/>
                <w:szCs w:val="18"/>
              </w:rPr>
              <w:t xml:space="preserve">: </w:t>
            </w:r>
            <w:r w:rsidRPr="000A7465">
              <w:rPr>
                <w:rFonts w:ascii="Times New Roman" w:hAnsi="Times New Roman" w:cs="Times New Roman"/>
                <w:sz w:val="18"/>
                <w:szCs w:val="18"/>
                <w:lang w:val="en-AU"/>
              </w:rPr>
              <w:t xml:space="preserve">Control: </w:t>
            </w:r>
            <w:r w:rsidRPr="000A7465">
              <w:rPr>
                <w:rFonts w:ascii="Times New Roman" w:hAnsi="Times New Roman" w:cs="Times New Roman"/>
                <w:sz w:val="18"/>
                <w:szCs w:val="18"/>
              </w:rPr>
              <w:t xml:space="preserve">13.20 ± 26.6 days; </w:t>
            </w:r>
            <w:r w:rsidR="004D364B" w:rsidRPr="000A7465">
              <w:rPr>
                <w:rFonts w:ascii="Times New Roman" w:hAnsi="Times New Roman" w:cs="Times New Roman"/>
                <w:sz w:val="18"/>
                <w:szCs w:val="18"/>
              </w:rPr>
              <w:t>“</w:t>
            </w:r>
            <w:r w:rsidRPr="000A7465">
              <w:rPr>
                <w:rFonts w:ascii="Times New Roman" w:hAnsi="Times New Roman" w:cs="Times New Roman"/>
                <w:sz w:val="18"/>
                <w:szCs w:val="18"/>
              </w:rPr>
              <w:t>11+</w:t>
            </w:r>
            <w:r w:rsidR="00D66EF6">
              <w:rPr>
                <w:rFonts w:ascii="Times New Roman" w:hAnsi="Times New Roman" w:cs="Times New Roman"/>
                <w:sz w:val="18"/>
                <w:szCs w:val="18"/>
              </w:rPr>
              <w:t>”</w:t>
            </w:r>
            <w:r w:rsidRPr="000A7465">
              <w:rPr>
                <w:rFonts w:ascii="Times New Roman" w:hAnsi="Times New Roman" w:cs="Times New Roman"/>
                <w:sz w:val="18"/>
                <w:szCs w:val="18"/>
              </w:rPr>
              <w:t xml:space="preserve"> IPP: 10.08 ± 14.68 days </w:t>
            </w:r>
          </w:p>
          <w:p w14:paraId="3D2EB0A1" w14:textId="77777777" w:rsidR="009C1AC8" w:rsidRPr="000A7465" w:rsidRDefault="009C1AC8" w:rsidP="009C1AC8">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rPr>
              <w:t>Wald x</w:t>
            </w:r>
            <w:r w:rsidRPr="000A7465">
              <w:rPr>
                <w:rFonts w:ascii="Times New Roman" w:hAnsi="Times New Roman" w:cs="Times New Roman"/>
                <w:sz w:val="18"/>
                <w:szCs w:val="18"/>
                <w:vertAlign w:val="superscript"/>
              </w:rPr>
              <w:t>2</w:t>
            </w:r>
            <w:r w:rsidRPr="000A7465">
              <w:rPr>
                <w:rFonts w:ascii="Times New Roman" w:hAnsi="Times New Roman" w:cs="Times New Roman"/>
                <w:sz w:val="18"/>
                <w:szCs w:val="18"/>
              </w:rPr>
              <w:t xml:space="preserve">(2) = 7.35; </w:t>
            </w:r>
            <w:r w:rsidRPr="000A7465">
              <w:rPr>
                <w:rFonts w:ascii="Times New Roman" w:hAnsi="Times New Roman" w:cs="Times New Roman"/>
                <w:i/>
                <w:sz w:val="18"/>
                <w:szCs w:val="18"/>
              </w:rPr>
              <w:t>b</w:t>
            </w:r>
            <w:r w:rsidRPr="000A7465">
              <w:rPr>
                <w:rFonts w:ascii="Times New Roman" w:hAnsi="Times New Roman" w:cs="Times New Roman"/>
                <w:sz w:val="18"/>
                <w:szCs w:val="18"/>
              </w:rPr>
              <w:t xml:space="preserve"> = 0.34; SE = 0.12; P = .007</w:t>
            </w:r>
          </w:p>
          <w:p w14:paraId="433AEC80" w14:textId="1160D8B6" w:rsidR="009C1AC8" w:rsidRPr="000A7465" w:rsidRDefault="004D364B" w:rsidP="009C1AC8">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rPr>
              <w:t xml:space="preserve">Intervention versus </w:t>
            </w:r>
            <w:r w:rsidR="009C1AC8" w:rsidRPr="000A7465">
              <w:rPr>
                <w:rFonts w:ascii="Times New Roman" w:hAnsi="Times New Roman" w:cs="Times New Roman"/>
                <w:sz w:val="18"/>
                <w:szCs w:val="18"/>
              </w:rPr>
              <w:t>control odds ration = 1.4</w:t>
            </w:r>
          </w:p>
          <w:p w14:paraId="016C1C2C" w14:textId="50AF537E" w:rsidR="00562D1E" w:rsidRPr="000A7465" w:rsidRDefault="009C1AC8" w:rsidP="00562D1E">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rPr>
              <w:t>Significant</w:t>
            </w:r>
            <w:r w:rsidR="00562D1E" w:rsidRPr="000A7465">
              <w:rPr>
                <w:rFonts w:ascii="Times New Roman" w:hAnsi="Times New Roman" w:cs="Times New Roman"/>
                <w:sz w:val="18"/>
                <w:szCs w:val="18"/>
              </w:rPr>
              <w:t xml:space="preserve">ly higher days missed in the intervention group when the injury </w:t>
            </w:r>
            <w:r w:rsidR="004D364B" w:rsidRPr="000A7465">
              <w:rPr>
                <w:rFonts w:ascii="Times New Roman" w:hAnsi="Times New Roman" w:cs="Times New Roman"/>
                <w:sz w:val="18"/>
                <w:szCs w:val="18"/>
              </w:rPr>
              <w:t>“</w:t>
            </w:r>
            <w:r w:rsidR="00D66EF6">
              <w:rPr>
                <w:rFonts w:ascii="Times New Roman" w:hAnsi="Times New Roman" w:cs="Times New Roman"/>
                <w:sz w:val="18"/>
                <w:szCs w:val="18"/>
              </w:rPr>
              <w:t>11+</w:t>
            </w:r>
            <w:r w:rsidR="004D364B" w:rsidRPr="000A7465">
              <w:rPr>
                <w:rFonts w:ascii="Times New Roman" w:hAnsi="Times New Roman" w:cs="Times New Roman"/>
                <w:sz w:val="18"/>
                <w:szCs w:val="18"/>
              </w:rPr>
              <w:t>”</w:t>
            </w:r>
            <w:r w:rsidR="00D66EF6">
              <w:rPr>
                <w:rFonts w:ascii="Times New Roman" w:hAnsi="Times New Roman" w:cs="Times New Roman"/>
                <w:sz w:val="18"/>
                <w:szCs w:val="18"/>
              </w:rPr>
              <w:t xml:space="preserve"> IPP</w:t>
            </w:r>
            <w:r w:rsidR="00562D1E" w:rsidRPr="000A7465">
              <w:rPr>
                <w:rFonts w:ascii="Times New Roman" w:hAnsi="Times New Roman" w:cs="Times New Roman"/>
                <w:sz w:val="18"/>
                <w:szCs w:val="18"/>
              </w:rPr>
              <w:t xml:space="preserve"> was not performed on the day of injury (10.65 days</w:t>
            </w:r>
            <w:r w:rsidR="004D364B" w:rsidRPr="000A7465">
              <w:rPr>
                <w:rFonts w:ascii="Times New Roman" w:hAnsi="Times New Roman" w:cs="Times New Roman"/>
                <w:sz w:val="18"/>
                <w:szCs w:val="18"/>
              </w:rPr>
              <w:t xml:space="preserve"> ± 15.35 days) versus when the “</w:t>
            </w:r>
            <w:r w:rsidR="00562D1E" w:rsidRPr="000A7465">
              <w:rPr>
                <w:rFonts w:ascii="Times New Roman" w:hAnsi="Times New Roman" w:cs="Times New Roman"/>
                <w:sz w:val="18"/>
                <w:szCs w:val="18"/>
              </w:rPr>
              <w:t>11+</w:t>
            </w:r>
            <w:r w:rsidR="00D66EF6">
              <w:rPr>
                <w:rFonts w:ascii="Times New Roman" w:hAnsi="Times New Roman" w:cs="Times New Roman"/>
                <w:sz w:val="18"/>
                <w:szCs w:val="18"/>
              </w:rPr>
              <w:t>”</w:t>
            </w:r>
            <w:r w:rsidR="00562D1E" w:rsidRPr="000A7465">
              <w:rPr>
                <w:rFonts w:ascii="Times New Roman" w:hAnsi="Times New Roman" w:cs="Times New Roman"/>
                <w:sz w:val="18"/>
                <w:szCs w:val="18"/>
              </w:rPr>
              <w:t xml:space="preserve"> IPP was performed on the day of injury (6.56 ± 10.44 days).</w:t>
            </w:r>
          </w:p>
          <w:p w14:paraId="6EC17552" w14:textId="6B8E976D" w:rsidR="00562D1E" w:rsidRPr="000A7465" w:rsidRDefault="00562D1E" w:rsidP="00562D1E">
            <w:pPr>
              <w:pStyle w:val="ListParagraph"/>
              <w:numPr>
                <w:ilvl w:val="1"/>
                <w:numId w:val="6"/>
              </w:numPr>
              <w:rPr>
                <w:rFonts w:ascii="Times New Roman" w:hAnsi="Times New Roman" w:cs="Times New Roman"/>
                <w:sz w:val="18"/>
                <w:szCs w:val="18"/>
              </w:rPr>
            </w:pPr>
            <w:r w:rsidRPr="000A7465">
              <w:rPr>
                <w:rFonts w:ascii="Times New Roman" w:hAnsi="Times New Roman" w:cs="Times New Roman"/>
                <w:sz w:val="18"/>
                <w:szCs w:val="18"/>
              </w:rPr>
              <w:t>Wald x</w:t>
            </w:r>
            <w:r w:rsidRPr="000A7465">
              <w:rPr>
                <w:rFonts w:ascii="Times New Roman" w:hAnsi="Times New Roman" w:cs="Times New Roman"/>
                <w:sz w:val="18"/>
                <w:szCs w:val="18"/>
                <w:vertAlign w:val="superscript"/>
              </w:rPr>
              <w:t>2</w:t>
            </w:r>
            <w:r w:rsidRPr="000A7465">
              <w:rPr>
                <w:rFonts w:ascii="Times New Roman" w:hAnsi="Times New Roman" w:cs="Times New Roman"/>
                <w:sz w:val="18"/>
                <w:szCs w:val="18"/>
              </w:rPr>
              <w:t xml:space="preserve">(1) = 4.26; </w:t>
            </w:r>
            <w:r w:rsidRPr="000A7465">
              <w:rPr>
                <w:rFonts w:ascii="Times New Roman" w:hAnsi="Times New Roman" w:cs="Times New Roman"/>
                <w:i/>
                <w:sz w:val="18"/>
                <w:szCs w:val="18"/>
              </w:rPr>
              <w:t>b</w:t>
            </w:r>
            <w:r w:rsidRPr="000A7465">
              <w:rPr>
                <w:rFonts w:ascii="Times New Roman" w:hAnsi="Times New Roman" w:cs="Times New Roman"/>
                <w:sz w:val="18"/>
                <w:szCs w:val="18"/>
              </w:rPr>
              <w:t xml:space="preserve"> = 4.08; SE = 1.98; P = .039 </w:t>
            </w:r>
          </w:p>
          <w:p w14:paraId="1364F284" w14:textId="77777777" w:rsidR="009C1AC8" w:rsidRPr="000A7465" w:rsidRDefault="009C1AC8">
            <w:pPr>
              <w:rPr>
                <w:rFonts w:ascii="Times New Roman" w:hAnsi="Times New Roman" w:cs="Times New Roman"/>
                <w:sz w:val="18"/>
                <w:szCs w:val="18"/>
              </w:rPr>
            </w:pPr>
          </w:p>
          <w:p w14:paraId="67F69683" w14:textId="77777777" w:rsidR="006F16F3" w:rsidRPr="000A7465" w:rsidRDefault="006F16F3" w:rsidP="006F16F3">
            <w:pPr>
              <w:rPr>
                <w:rFonts w:ascii="Times New Roman" w:hAnsi="Times New Roman" w:cs="Times New Roman"/>
                <w:sz w:val="18"/>
                <w:szCs w:val="18"/>
                <w:lang w:val="en-AU"/>
              </w:rPr>
            </w:pPr>
            <w:r w:rsidRPr="000A7465">
              <w:rPr>
                <w:rFonts w:ascii="Times New Roman" w:hAnsi="Times New Roman" w:cs="Times New Roman"/>
                <w:b/>
                <w:sz w:val="18"/>
                <w:szCs w:val="18"/>
                <w:lang w:val="en-AU"/>
              </w:rPr>
              <w:t>Follow-up/Attrition</w:t>
            </w:r>
            <w:r w:rsidRPr="000A7465">
              <w:rPr>
                <w:rFonts w:ascii="Times New Roman" w:hAnsi="Times New Roman" w:cs="Times New Roman"/>
                <w:sz w:val="18"/>
                <w:szCs w:val="18"/>
                <w:lang w:val="en-AU"/>
              </w:rPr>
              <w:t>: 4 Division II teams in the intervention group (100 participants) discontinued the intervention and were lost to follow up. The rationale for attrition were time constraints and lack of interest. A per-protocol statistical analysis was completed</w:t>
            </w:r>
          </w:p>
          <w:p w14:paraId="79F90F4E" w14:textId="77777777" w:rsidR="00004166" w:rsidRPr="000A7465" w:rsidRDefault="00004166" w:rsidP="00004166">
            <w:pPr>
              <w:rPr>
                <w:rFonts w:ascii="Times New Roman" w:hAnsi="Times New Roman" w:cs="Times New Roman"/>
                <w:sz w:val="18"/>
                <w:szCs w:val="18"/>
              </w:rPr>
            </w:pPr>
          </w:p>
          <w:p w14:paraId="2C54B76F" w14:textId="12FBF64B" w:rsidR="00C7412E" w:rsidRPr="000A7465" w:rsidRDefault="00C7412E" w:rsidP="00C7412E">
            <w:pPr>
              <w:rPr>
                <w:rFonts w:ascii="Times New Roman" w:hAnsi="Times New Roman" w:cs="Times New Roman"/>
                <w:sz w:val="18"/>
                <w:szCs w:val="18"/>
              </w:rPr>
            </w:pPr>
            <w:r w:rsidRPr="000A7465">
              <w:rPr>
                <w:rFonts w:ascii="Times New Roman" w:hAnsi="Times New Roman" w:cs="Times New Roman"/>
                <w:b/>
                <w:sz w:val="18"/>
                <w:szCs w:val="18"/>
              </w:rPr>
              <w:t xml:space="preserve">Compliance with </w:t>
            </w:r>
            <w:r w:rsidR="00D66EF6">
              <w:rPr>
                <w:rFonts w:ascii="Times New Roman" w:hAnsi="Times New Roman" w:cs="Times New Roman"/>
                <w:b/>
                <w:sz w:val="18"/>
                <w:szCs w:val="18"/>
              </w:rPr>
              <w:t>the “</w:t>
            </w:r>
            <w:r w:rsidRPr="000A7465">
              <w:rPr>
                <w:rFonts w:ascii="Times New Roman" w:hAnsi="Times New Roman" w:cs="Times New Roman"/>
                <w:b/>
                <w:sz w:val="18"/>
                <w:szCs w:val="18"/>
              </w:rPr>
              <w:t>11+</w:t>
            </w:r>
            <w:r w:rsidR="00D66EF6">
              <w:rPr>
                <w:rFonts w:ascii="Times New Roman" w:hAnsi="Times New Roman" w:cs="Times New Roman"/>
                <w:b/>
                <w:sz w:val="18"/>
                <w:szCs w:val="18"/>
              </w:rPr>
              <w:t>”</w:t>
            </w:r>
            <w:r w:rsidRPr="000A7465">
              <w:rPr>
                <w:rFonts w:ascii="Times New Roman" w:hAnsi="Times New Roman" w:cs="Times New Roman"/>
                <w:sz w:val="18"/>
                <w:szCs w:val="18"/>
              </w:rPr>
              <w:t xml:space="preserve"> average compliance per team </w:t>
            </w:r>
            <w:r w:rsidR="00EC401F" w:rsidRPr="000A7465">
              <w:rPr>
                <w:rFonts w:ascii="Times New Roman" w:hAnsi="Times New Roman" w:cs="Times New Roman"/>
                <w:sz w:val="18"/>
                <w:szCs w:val="18"/>
              </w:rPr>
              <w:t>was 30.47±12.16 IPP sessions</w:t>
            </w:r>
            <w:r w:rsidR="009946A9" w:rsidRPr="000A7465">
              <w:rPr>
                <w:rFonts w:ascii="Times New Roman" w:hAnsi="Times New Roman" w:cs="Times New Roman"/>
                <w:sz w:val="18"/>
                <w:szCs w:val="18"/>
              </w:rPr>
              <w:t>. There was a statistically significant inverse relationship between compli</w:t>
            </w:r>
            <w:r w:rsidR="00E42956">
              <w:rPr>
                <w:rFonts w:ascii="Times New Roman" w:hAnsi="Times New Roman" w:cs="Times New Roman"/>
                <w:sz w:val="18"/>
                <w:szCs w:val="18"/>
              </w:rPr>
              <w:t>ance with “</w:t>
            </w:r>
            <w:r w:rsidR="009946A9" w:rsidRPr="000A7465">
              <w:rPr>
                <w:rFonts w:ascii="Times New Roman" w:hAnsi="Times New Roman" w:cs="Times New Roman"/>
                <w:sz w:val="18"/>
                <w:szCs w:val="18"/>
              </w:rPr>
              <w:t>11+</w:t>
            </w:r>
            <w:r w:rsidR="004D364B" w:rsidRPr="000A7465">
              <w:rPr>
                <w:rFonts w:ascii="Times New Roman" w:hAnsi="Times New Roman" w:cs="Times New Roman"/>
                <w:sz w:val="18"/>
                <w:szCs w:val="18"/>
              </w:rPr>
              <w:t>”</w:t>
            </w:r>
            <w:r w:rsidR="009946A9" w:rsidRPr="000A7465">
              <w:rPr>
                <w:rFonts w:ascii="Times New Roman" w:hAnsi="Times New Roman" w:cs="Times New Roman"/>
                <w:sz w:val="18"/>
                <w:szCs w:val="18"/>
              </w:rPr>
              <w:t xml:space="preserve"> IPP and injury rate (P = .034) </w:t>
            </w:r>
          </w:p>
          <w:p w14:paraId="0AB8DAE2" w14:textId="070791BA" w:rsidR="006F16F3" w:rsidRPr="000A7465" w:rsidRDefault="006F16F3" w:rsidP="002447FA">
            <w:pPr>
              <w:rPr>
                <w:rFonts w:ascii="Times New Roman" w:hAnsi="Times New Roman" w:cs="Times New Roman"/>
                <w:sz w:val="18"/>
                <w:szCs w:val="18"/>
              </w:rPr>
            </w:pPr>
          </w:p>
        </w:tc>
        <w:tc>
          <w:tcPr>
            <w:tcW w:w="3495" w:type="dxa"/>
          </w:tcPr>
          <w:p w14:paraId="3714F4D3" w14:textId="621AACD1" w:rsidR="00AC2FF0" w:rsidRPr="000A7465" w:rsidRDefault="00562D1E" w:rsidP="00562D1E">
            <w:pPr>
              <w:rPr>
                <w:rFonts w:ascii="Times New Roman" w:hAnsi="Times New Roman" w:cs="Times New Roman"/>
                <w:sz w:val="18"/>
                <w:szCs w:val="18"/>
              </w:rPr>
            </w:pPr>
            <w:r w:rsidRPr="000A7465">
              <w:rPr>
                <w:rFonts w:ascii="Times New Roman" w:hAnsi="Times New Roman" w:cs="Times New Roman"/>
                <w:b/>
                <w:sz w:val="18"/>
                <w:szCs w:val="18"/>
              </w:rPr>
              <w:lastRenderedPageBreak/>
              <w:t>Conclusions</w:t>
            </w:r>
            <w:r w:rsidRPr="000A7465">
              <w:rPr>
                <w:rFonts w:ascii="Times New Roman" w:hAnsi="Times New Roman" w:cs="Times New Roman"/>
                <w:sz w:val="18"/>
                <w:szCs w:val="18"/>
              </w:rPr>
              <w:t xml:space="preserve">: </w:t>
            </w:r>
            <w:r w:rsidR="00D66EF6">
              <w:rPr>
                <w:rFonts w:ascii="Times New Roman" w:hAnsi="Times New Roman" w:cs="Times New Roman"/>
                <w:sz w:val="18"/>
                <w:szCs w:val="18"/>
              </w:rPr>
              <w:t>The “</w:t>
            </w:r>
            <w:r w:rsidRPr="000A7465">
              <w:rPr>
                <w:rFonts w:ascii="Times New Roman" w:hAnsi="Times New Roman" w:cs="Times New Roman"/>
                <w:sz w:val="18"/>
                <w:szCs w:val="18"/>
              </w:rPr>
              <w:t>11+</w:t>
            </w:r>
            <w:r w:rsidR="004D364B" w:rsidRPr="000A7465">
              <w:rPr>
                <w:rFonts w:ascii="Times New Roman" w:hAnsi="Times New Roman" w:cs="Times New Roman"/>
                <w:sz w:val="18"/>
                <w:szCs w:val="18"/>
              </w:rPr>
              <w:t>”</w:t>
            </w:r>
            <w:r w:rsidRPr="000A7465">
              <w:rPr>
                <w:rFonts w:ascii="Times New Roman" w:hAnsi="Times New Roman" w:cs="Times New Roman"/>
                <w:sz w:val="18"/>
                <w:szCs w:val="18"/>
              </w:rPr>
              <w:t xml:space="preserve"> IPP significantly reduced overall injury rates by 46.1% versus a control. It led to</w:t>
            </w:r>
            <w:r w:rsidR="004D364B" w:rsidRPr="000A7465">
              <w:rPr>
                <w:rFonts w:ascii="Times New Roman" w:hAnsi="Times New Roman" w:cs="Times New Roman"/>
                <w:sz w:val="18"/>
                <w:szCs w:val="18"/>
              </w:rPr>
              <w:t xml:space="preserve"> a</w:t>
            </w:r>
            <w:r w:rsidRPr="000A7465">
              <w:rPr>
                <w:rFonts w:ascii="Times New Roman" w:hAnsi="Times New Roman" w:cs="Times New Roman"/>
                <w:sz w:val="18"/>
                <w:szCs w:val="18"/>
              </w:rPr>
              <w:t xml:space="preserve"> signifi</w:t>
            </w:r>
            <w:r w:rsidR="004D364B" w:rsidRPr="000A7465">
              <w:rPr>
                <w:rFonts w:ascii="Times New Roman" w:hAnsi="Times New Roman" w:cs="Times New Roman"/>
                <w:sz w:val="18"/>
                <w:szCs w:val="18"/>
              </w:rPr>
              <w:t xml:space="preserve">cant reduction in </w:t>
            </w:r>
            <w:r w:rsidR="004D364B" w:rsidRPr="000A7465">
              <w:rPr>
                <w:rFonts w:ascii="Times New Roman" w:hAnsi="Times New Roman" w:cs="Times New Roman"/>
                <w:sz w:val="18"/>
                <w:szCs w:val="18"/>
              </w:rPr>
              <w:lastRenderedPageBreak/>
              <w:t xml:space="preserve">the days missed due </w:t>
            </w:r>
            <w:r w:rsidRPr="000A7465">
              <w:rPr>
                <w:rFonts w:ascii="Times New Roman" w:hAnsi="Times New Roman" w:cs="Times New Roman"/>
                <w:sz w:val="18"/>
                <w:szCs w:val="18"/>
              </w:rPr>
              <w:t>to injury. There is a</w:t>
            </w:r>
            <w:r w:rsidR="004D364B" w:rsidRPr="000A7465">
              <w:rPr>
                <w:rFonts w:ascii="Times New Roman" w:hAnsi="Times New Roman" w:cs="Times New Roman"/>
                <w:sz w:val="18"/>
                <w:szCs w:val="18"/>
              </w:rPr>
              <w:t>n</w:t>
            </w:r>
            <w:r w:rsidRPr="000A7465">
              <w:rPr>
                <w:rFonts w:ascii="Times New Roman" w:hAnsi="Times New Roman" w:cs="Times New Roman"/>
                <w:sz w:val="18"/>
                <w:szCs w:val="18"/>
              </w:rPr>
              <w:t xml:space="preserve"> inverse relationship between compliance wit</w:t>
            </w:r>
            <w:r w:rsidR="00D66EF6">
              <w:rPr>
                <w:rFonts w:ascii="Times New Roman" w:hAnsi="Times New Roman" w:cs="Times New Roman"/>
                <w:sz w:val="18"/>
                <w:szCs w:val="18"/>
              </w:rPr>
              <w:t>h the “</w:t>
            </w:r>
            <w:r w:rsidRPr="000A7465">
              <w:rPr>
                <w:rFonts w:ascii="Times New Roman" w:hAnsi="Times New Roman" w:cs="Times New Roman"/>
                <w:sz w:val="18"/>
                <w:szCs w:val="18"/>
              </w:rPr>
              <w:t>11+</w:t>
            </w:r>
            <w:r w:rsidR="004D364B" w:rsidRPr="000A7465">
              <w:rPr>
                <w:rFonts w:ascii="Times New Roman" w:hAnsi="Times New Roman" w:cs="Times New Roman"/>
                <w:sz w:val="18"/>
                <w:szCs w:val="18"/>
              </w:rPr>
              <w:t>”</w:t>
            </w:r>
            <w:r w:rsidRPr="000A7465">
              <w:rPr>
                <w:rFonts w:ascii="Times New Roman" w:hAnsi="Times New Roman" w:cs="Times New Roman"/>
                <w:sz w:val="18"/>
                <w:szCs w:val="18"/>
              </w:rPr>
              <w:t xml:space="preserve"> IPP and injury rate</w:t>
            </w:r>
          </w:p>
          <w:p w14:paraId="3A0110F4" w14:textId="77777777" w:rsidR="00562D1E" w:rsidRPr="000A7465" w:rsidRDefault="00562D1E" w:rsidP="00562D1E">
            <w:pPr>
              <w:rPr>
                <w:rFonts w:ascii="Times New Roman" w:hAnsi="Times New Roman" w:cs="Times New Roman"/>
                <w:sz w:val="18"/>
                <w:szCs w:val="18"/>
              </w:rPr>
            </w:pPr>
          </w:p>
          <w:p w14:paraId="14633EA5" w14:textId="238BFF38" w:rsidR="00562D1E" w:rsidRPr="000A7465" w:rsidRDefault="00562D1E" w:rsidP="00562D1E">
            <w:pPr>
              <w:rPr>
                <w:rFonts w:ascii="Times New Roman" w:hAnsi="Times New Roman" w:cs="Times New Roman"/>
                <w:sz w:val="18"/>
                <w:szCs w:val="18"/>
              </w:rPr>
            </w:pPr>
            <w:r w:rsidRPr="000A7465">
              <w:rPr>
                <w:rFonts w:ascii="Times New Roman" w:hAnsi="Times New Roman" w:cs="Times New Roman"/>
                <w:b/>
                <w:sz w:val="18"/>
                <w:szCs w:val="18"/>
              </w:rPr>
              <w:t>Limitations</w:t>
            </w:r>
            <w:r w:rsidRPr="000A7465">
              <w:rPr>
                <w:rFonts w:ascii="Times New Roman" w:hAnsi="Times New Roman" w:cs="Times New Roman"/>
                <w:sz w:val="18"/>
                <w:szCs w:val="18"/>
              </w:rPr>
              <w:t xml:space="preserve">: </w:t>
            </w:r>
          </w:p>
          <w:p w14:paraId="68F368B4" w14:textId="6D842DA6" w:rsidR="00562D1E" w:rsidRPr="000A7465" w:rsidRDefault="00562D1E" w:rsidP="00562D1E">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rPr>
              <w:t>Poor</w:t>
            </w:r>
            <w:r w:rsidR="004D364B" w:rsidRPr="000A7465">
              <w:rPr>
                <w:rFonts w:ascii="Times New Roman" w:hAnsi="Times New Roman" w:cs="Times New Roman"/>
                <w:sz w:val="18"/>
                <w:szCs w:val="18"/>
              </w:rPr>
              <w:t xml:space="preserve"> overall</w:t>
            </w:r>
            <w:r w:rsidRPr="000A7465">
              <w:rPr>
                <w:rFonts w:ascii="Times New Roman" w:hAnsi="Times New Roman" w:cs="Times New Roman"/>
                <w:sz w:val="18"/>
                <w:szCs w:val="18"/>
              </w:rPr>
              <w:t xml:space="preserve"> compliance with the </w:t>
            </w:r>
            <w:r w:rsidR="008567C1">
              <w:rPr>
                <w:rFonts w:ascii="Times New Roman" w:hAnsi="Times New Roman" w:cs="Times New Roman"/>
                <w:sz w:val="18"/>
                <w:szCs w:val="18"/>
              </w:rPr>
              <w:t>“</w:t>
            </w:r>
            <w:r w:rsidRPr="000A7465">
              <w:rPr>
                <w:rFonts w:ascii="Times New Roman" w:hAnsi="Times New Roman" w:cs="Times New Roman"/>
                <w:sz w:val="18"/>
                <w:szCs w:val="18"/>
              </w:rPr>
              <w:t>11+</w:t>
            </w:r>
            <w:r w:rsidR="008567C1">
              <w:rPr>
                <w:rFonts w:ascii="Times New Roman" w:hAnsi="Times New Roman" w:cs="Times New Roman"/>
                <w:sz w:val="18"/>
                <w:szCs w:val="18"/>
              </w:rPr>
              <w:t>”</w:t>
            </w:r>
            <w:r w:rsidRPr="000A7465">
              <w:rPr>
                <w:rFonts w:ascii="Times New Roman" w:hAnsi="Times New Roman" w:cs="Times New Roman"/>
                <w:sz w:val="18"/>
                <w:szCs w:val="18"/>
              </w:rPr>
              <w:t xml:space="preserve"> IPP </w:t>
            </w:r>
          </w:p>
          <w:p w14:paraId="5D04A6EB" w14:textId="77777777" w:rsidR="00562D1E" w:rsidRPr="000A7465" w:rsidRDefault="00562D1E" w:rsidP="00562D1E">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rPr>
              <w:t>Homogeneous sample, limited external validity</w:t>
            </w:r>
          </w:p>
          <w:p w14:paraId="168463EF" w14:textId="77777777" w:rsidR="00562D1E" w:rsidRPr="000A7465" w:rsidRDefault="00562D1E" w:rsidP="00562D1E">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rPr>
              <w:t>No blinding of subjects or athletic trainers reporting outcomes</w:t>
            </w:r>
          </w:p>
          <w:p w14:paraId="1D9B0058" w14:textId="77777777" w:rsidR="00562D1E" w:rsidRPr="000A7465" w:rsidRDefault="00562D1E" w:rsidP="00562D1E">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rPr>
              <w:t>No intention to treat analysis performed</w:t>
            </w:r>
          </w:p>
          <w:p w14:paraId="026F046F" w14:textId="77777777" w:rsidR="00562D1E" w:rsidRPr="000A7465" w:rsidRDefault="00562D1E" w:rsidP="00562D1E">
            <w:pPr>
              <w:rPr>
                <w:rFonts w:ascii="Times New Roman" w:hAnsi="Times New Roman" w:cs="Times New Roman"/>
                <w:sz w:val="18"/>
                <w:szCs w:val="18"/>
              </w:rPr>
            </w:pPr>
          </w:p>
          <w:p w14:paraId="56F9D102" w14:textId="77777777" w:rsidR="00562D1E" w:rsidRPr="000A7465" w:rsidRDefault="00562D1E" w:rsidP="00562D1E">
            <w:pPr>
              <w:rPr>
                <w:rFonts w:ascii="Times New Roman" w:hAnsi="Times New Roman" w:cs="Times New Roman"/>
                <w:b/>
                <w:sz w:val="18"/>
                <w:szCs w:val="18"/>
              </w:rPr>
            </w:pPr>
            <w:r w:rsidRPr="000A7465">
              <w:rPr>
                <w:rFonts w:ascii="Times New Roman" w:hAnsi="Times New Roman" w:cs="Times New Roman"/>
                <w:b/>
                <w:sz w:val="18"/>
                <w:szCs w:val="18"/>
              </w:rPr>
              <w:t>Strengths:</w:t>
            </w:r>
          </w:p>
          <w:p w14:paraId="48D424B9" w14:textId="77777777" w:rsidR="00562D1E" w:rsidRPr="000A7465" w:rsidRDefault="00562D1E" w:rsidP="00562D1E">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rPr>
              <w:t>High internal validity</w:t>
            </w:r>
          </w:p>
          <w:p w14:paraId="0D91B5BC" w14:textId="77777777" w:rsidR="00562D1E" w:rsidRPr="000A7465" w:rsidRDefault="00562D1E" w:rsidP="00562D1E">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rPr>
              <w:t xml:space="preserve">Large number of subjects with similarity in characteristics at baseline </w:t>
            </w:r>
          </w:p>
          <w:p w14:paraId="70B1B856" w14:textId="7DB28BC1" w:rsidR="00562D1E" w:rsidRPr="000A7465" w:rsidRDefault="00562D1E" w:rsidP="00562D1E">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rPr>
              <w:t xml:space="preserve">Randomization </w:t>
            </w:r>
          </w:p>
        </w:tc>
      </w:tr>
    </w:tbl>
    <w:p w14:paraId="0E2D8EF1" w14:textId="7C0AC0F1" w:rsidR="00C609F5" w:rsidRPr="000A7465" w:rsidRDefault="00C609F5">
      <w:pPr>
        <w:rPr>
          <w:rFonts w:ascii="Times New Roman" w:hAnsi="Times New Roman" w:cs="Times New Roman"/>
        </w:rPr>
      </w:pPr>
      <w:r w:rsidRPr="000A7465">
        <w:rPr>
          <w:rFonts w:ascii="Times New Roman" w:hAnsi="Times New Roman" w:cs="Times New Roman"/>
        </w:rPr>
        <w:lastRenderedPageBreak/>
        <w:br w:type="page"/>
      </w:r>
    </w:p>
    <w:tbl>
      <w:tblPr>
        <w:tblStyle w:val="TableGrid"/>
        <w:tblW w:w="15210" w:type="dxa"/>
        <w:tblInd w:w="-365" w:type="dxa"/>
        <w:tblLayout w:type="fixed"/>
        <w:tblLook w:val="04A0" w:firstRow="1" w:lastRow="0" w:firstColumn="1" w:lastColumn="0" w:noHBand="0" w:noVBand="1"/>
      </w:tblPr>
      <w:tblGrid>
        <w:gridCol w:w="365"/>
        <w:gridCol w:w="1936"/>
        <w:gridCol w:w="4380"/>
        <w:gridCol w:w="4584"/>
        <w:gridCol w:w="3495"/>
        <w:gridCol w:w="450"/>
      </w:tblGrid>
      <w:tr w:rsidR="00C609F5" w:rsidRPr="000A7465" w14:paraId="6ED2926E" w14:textId="77777777" w:rsidTr="00B62AF5">
        <w:tc>
          <w:tcPr>
            <w:tcW w:w="15210" w:type="dxa"/>
            <w:gridSpan w:val="6"/>
          </w:tcPr>
          <w:p w14:paraId="0AFDF62A" w14:textId="572233B1" w:rsidR="00C609F5" w:rsidRPr="000A7465" w:rsidRDefault="00C609F5">
            <w:pPr>
              <w:rPr>
                <w:rFonts w:ascii="Times New Roman" w:hAnsi="Times New Roman" w:cs="Times New Roman"/>
                <w:b/>
                <w:u w:val="single"/>
              </w:rPr>
            </w:pPr>
            <w:r w:rsidRPr="000A7465">
              <w:rPr>
                <w:rFonts w:ascii="Times New Roman" w:hAnsi="Times New Roman" w:cs="Times New Roman"/>
                <w:b/>
                <w:u w:val="single"/>
              </w:rPr>
              <w:lastRenderedPageBreak/>
              <w:t xml:space="preserve">Question 2: Does compliance impact the efficacy of </w:t>
            </w:r>
            <w:r w:rsidR="00D66EF6">
              <w:rPr>
                <w:rFonts w:ascii="Times New Roman" w:hAnsi="Times New Roman" w:cs="Times New Roman"/>
                <w:b/>
                <w:u w:val="single"/>
              </w:rPr>
              <w:t xml:space="preserve">the </w:t>
            </w:r>
            <w:r w:rsidRPr="000A7465">
              <w:rPr>
                <w:rFonts w:ascii="Times New Roman" w:hAnsi="Times New Roman" w:cs="Times New Roman"/>
                <w:b/>
                <w:u w:val="single"/>
              </w:rPr>
              <w:t>“11+”  program?</w:t>
            </w:r>
          </w:p>
        </w:tc>
      </w:tr>
      <w:tr w:rsidR="00C609F5" w:rsidRPr="000A7465" w14:paraId="45F2664A" w14:textId="77777777" w:rsidTr="00B62AF5">
        <w:trPr>
          <w:gridBefore w:val="1"/>
          <w:gridAfter w:val="1"/>
          <w:wBefore w:w="365" w:type="dxa"/>
          <w:wAfter w:w="450" w:type="dxa"/>
          <w:trHeight w:val="66"/>
        </w:trPr>
        <w:tc>
          <w:tcPr>
            <w:tcW w:w="1936" w:type="dxa"/>
          </w:tcPr>
          <w:p w14:paraId="71450372" w14:textId="5F066813" w:rsidR="00C609F5" w:rsidRPr="000A7465" w:rsidRDefault="00C609F5" w:rsidP="00A82EC1">
            <w:pPr>
              <w:rPr>
                <w:rFonts w:ascii="Times New Roman" w:hAnsi="Times New Roman" w:cs="Times New Roman"/>
                <w:b/>
                <w:sz w:val="18"/>
                <w:szCs w:val="18"/>
              </w:rPr>
            </w:pPr>
            <w:r w:rsidRPr="000A7465">
              <w:rPr>
                <w:rFonts w:ascii="Times New Roman" w:hAnsi="Times New Roman" w:cs="Times New Roman"/>
                <w:b/>
                <w:sz w:val="18"/>
                <w:szCs w:val="18"/>
              </w:rPr>
              <w:t>Study details</w:t>
            </w:r>
          </w:p>
        </w:tc>
        <w:tc>
          <w:tcPr>
            <w:tcW w:w="4380" w:type="dxa"/>
          </w:tcPr>
          <w:p w14:paraId="7FA23335" w14:textId="13D38921" w:rsidR="00C609F5" w:rsidRPr="000A7465" w:rsidRDefault="00C609F5" w:rsidP="00A82EC1">
            <w:pPr>
              <w:rPr>
                <w:rFonts w:ascii="Times New Roman" w:hAnsi="Times New Roman" w:cs="Times New Roman"/>
                <w:b/>
                <w:sz w:val="18"/>
                <w:szCs w:val="18"/>
              </w:rPr>
            </w:pPr>
            <w:r w:rsidRPr="000A7465">
              <w:rPr>
                <w:rFonts w:ascii="Times New Roman" w:hAnsi="Times New Roman" w:cs="Times New Roman"/>
                <w:b/>
                <w:sz w:val="18"/>
                <w:szCs w:val="18"/>
              </w:rPr>
              <w:t>Population and interventions</w:t>
            </w:r>
          </w:p>
        </w:tc>
        <w:tc>
          <w:tcPr>
            <w:tcW w:w="4584" w:type="dxa"/>
          </w:tcPr>
          <w:p w14:paraId="0C936FC5" w14:textId="354083DE" w:rsidR="00C609F5" w:rsidRPr="000A7465" w:rsidRDefault="00C609F5" w:rsidP="00A82EC1">
            <w:pPr>
              <w:rPr>
                <w:rFonts w:ascii="Times New Roman" w:hAnsi="Times New Roman" w:cs="Times New Roman"/>
                <w:b/>
                <w:sz w:val="18"/>
                <w:szCs w:val="18"/>
              </w:rPr>
            </w:pPr>
            <w:r w:rsidRPr="000A7465">
              <w:rPr>
                <w:rFonts w:ascii="Times New Roman" w:hAnsi="Times New Roman" w:cs="Times New Roman"/>
                <w:b/>
                <w:sz w:val="18"/>
                <w:szCs w:val="18"/>
              </w:rPr>
              <w:t xml:space="preserve">Relevant results </w:t>
            </w:r>
          </w:p>
        </w:tc>
        <w:tc>
          <w:tcPr>
            <w:tcW w:w="3495" w:type="dxa"/>
          </w:tcPr>
          <w:p w14:paraId="0F338141" w14:textId="070F9D11" w:rsidR="00C609F5" w:rsidRPr="000A7465" w:rsidRDefault="00C609F5" w:rsidP="00A82EC1">
            <w:pPr>
              <w:rPr>
                <w:rFonts w:ascii="Times New Roman" w:hAnsi="Times New Roman" w:cs="Times New Roman"/>
                <w:b/>
                <w:sz w:val="18"/>
                <w:szCs w:val="18"/>
              </w:rPr>
            </w:pPr>
            <w:r w:rsidRPr="000A7465">
              <w:rPr>
                <w:rFonts w:ascii="Times New Roman" w:hAnsi="Times New Roman" w:cs="Times New Roman"/>
                <w:b/>
                <w:sz w:val="18"/>
                <w:szCs w:val="18"/>
              </w:rPr>
              <w:t>Conclusions/Limitations</w:t>
            </w:r>
          </w:p>
        </w:tc>
      </w:tr>
      <w:tr w:rsidR="00C609F5" w:rsidRPr="000A7465" w14:paraId="156786D3" w14:textId="77777777" w:rsidTr="00B62AF5">
        <w:trPr>
          <w:gridBefore w:val="1"/>
          <w:gridAfter w:val="1"/>
          <w:wBefore w:w="365" w:type="dxa"/>
          <w:wAfter w:w="450" w:type="dxa"/>
          <w:trHeight w:val="5543"/>
        </w:trPr>
        <w:tc>
          <w:tcPr>
            <w:tcW w:w="1936" w:type="dxa"/>
          </w:tcPr>
          <w:p w14:paraId="7E3B79AD" w14:textId="3F652C44" w:rsidR="006F7B69" w:rsidRPr="000A7465" w:rsidRDefault="00C609F5" w:rsidP="006F7B69">
            <w:pPr>
              <w:rPr>
                <w:rFonts w:ascii="Times New Roman" w:hAnsi="Times New Roman" w:cs="Times New Roman"/>
                <w:strike/>
              </w:rPr>
            </w:pPr>
            <w:r w:rsidRPr="000A7465">
              <w:rPr>
                <w:rFonts w:ascii="Times New Roman" w:hAnsi="Times New Roman" w:cs="Times New Roman"/>
                <w:b/>
                <w:sz w:val="18"/>
                <w:szCs w:val="18"/>
              </w:rPr>
              <w:t>Author/Year</w:t>
            </w:r>
            <w:r w:rsidRPr="000A7465">
              <w:rPr>
                <w:rFonts w:ascii="Times New Roman" w:hAnsi="Times New Roman" w:cs="Times New Roman"/>
                <w:sz w:val="18"/>
                <w:szCs w:val="18"/>
              </w:rPr>
              <w:t>: Steffen et al (2013)</w:t>
            </w:r>
            <w:r w:rsidR="006F7B69" w:rsidRPr="000A7465">
              <w:rPr>
                <w:rFonts w:ascii="Times New Roman" w:hAnsi="Times New Roman" w:cs="Times New Roman"/>
              </w:rPr>
              <w:t xml:space="preserve"> </w:t>
            </w:r>
            <w:r w:rsidR="006F7B69" w:rsidRPr="000A7465">
              <w:rPr>
                <w:rFonts w:ascii="Times New Roman" w:hAnsi="Times New Roman" w:cs="Times New Roman"/>
                <w:sz w:val="18"/>
                <w:szCs w:val="18"/>
              </w:rPr>
              <w:fldChar w:fldCharType="begin"/>
            </w:r>
            <w:r w:rsidR="009D18FB" w:rsidRPr="000A7465">
              <w:rPr>
                <w:rFonts w:ascii="Times New Roman" w:hAnsi="Times New Roman" w:cs="Times New Roman"/>
                <w:sz w:val="18"/>
                <w:szCs w:val="18"/>
              </w:rPr>
              <w:instrText>ADDIN F1000_CSL_CITATION&lt;~#@#~&gt;[{"DOI":"10.1136/bjsports-2012-091886","First":false,"Last":false,"PMID":"23559666","abstract":"&lt;strong&gt;BACKGROUND:&lt;/strong&gt; A protective effect on injury risk in youth sports through neuromuscular warm-up training routines has consistently been demonstrated. However, there is a paucity of information regarding the quantity and quality of coach-led injury prevention programmes and its impact on the physical performance of players.&lt;br&gt;&lt;br&gt;&lt;strong&gt;OBJECTIVE:&lt;/strong&gt; The aim of this cluster-randomised controlled trial was to assess whether different delivery methods of an injury prevention programme (FIFA 11+) to coaches could improve player performance, and to examine the effect of player adherence on performance and injury risk.&lt;br&gt;&lt;br&gt;&lt;strong&gt;METHOD:&lt;/strong&gt; During the 2011 football season (May-August), coaches of 31 tiers 1-3 level teams were introduced to the 11+ through either an unsupervised website or a coach-focused workshop with and without additional on-field supervisions. Playing exposure, adherence to the 11+, and injuries were recorded for female 13-year-old to 18-year-old players. Performance testing included the Star Excursion Balance Test (SEBT), single-leg balance, triple hop and jumping-over-a-bar tests.&lt;br&gt;&lt;br&gt;&lt;strong&gt;RESULTS:&lt;/strong&gt; Complete preseason and postseason performance tests were available for 226 players (66.5%). Compared to the unsupervised group, single-leg balance (OR=2.8; 95% CI 1.1 to 4.6) and the anterior direction of the SEBT improved significantly in the onfield supervised group of players (OR=4.7; 95% CI 2.2 to 7.1), while 2-leg jumping performance decreased (OR=-5.1; 95% CI -9.9 to -0.2). However, significant improvements in 5 of 6 reach distances in the SEBT were found, favouring players who highly adhered to the 11+. Also, injury risk was lower for those players (injury rate ratio, IRR=0.28, 95% CI 0.10 to 0.79).&lt;br&gt;&lt;br&gt;&lt;strong&gt;CONCLUSIONS:&lt;/strong&gt; Different delivery methods of the FIFA 11+ to coaches influenced players' physical performance minimally. However, high player adherence to the 11+ resulted in significant improvements in functional balance and reduced injury risk.","author":[{"family":"Steffen","given":"Kathrin"},{"family":"Emery","given":"Carolyn A"},{"family":"Romiti","given":"Maria"},{"family":"Kang","given":"Jian"},{"family":"Bizzini","given":"Mario"},{"family":"Dvorak","given":"Jiri"},{"family":"Finch","given":"Caroline F"},{"family":"Meeuwisse","given":"Willem H"}],"citation-label":"6280543","container-title":"British Journal of Sports Medicine","container-title-short":"Br. J. Sports Med.","id":"6280543","invisible":false,"issue":"12","issued":{"date-parts":[["2013","8"]]},"journalAbbreviation":"Br. J. Sports Med.","page":"794-802","suppress-author":false,"title":"High adherence to a neuromuscular injury prevention programme (FIFA 11+) improves functional balance and reduces injury risk in Canadian youth female football players: a cluster randomised trial.","type":"article-journal","volume":"47"}]</w:instrText>
            </w:r>
            <w:r w:rsidR="006F7B69" w:rsidRPr="000A7465">
              <w:rPr>
                <w:rFonts w:ascii="Times New Roman" w:hAnsi="Times New Roman" w:cs="Times New Roman"/>
                <w:sz w:val="18"/>
                <w:szCs w:val="18"/>
              </w:rPr>
              <w:fldChar w:fldCharType="separate"/>
            </w:r>
            <w:r w:rsidR="00502F90" w:rsidRPr="000A7465">
              <w:rPr>
                <w:rFonts w:ascii="Times New Roman" w:hAnsi="Times New Roman" w:cs="Times New Roman"/>
                <w:sz w:val="18"/>
                <w:szCs w:val="18"/>
                <w:vertAlign w:val="superscript"/>
              </w:rPr>
              <w:t>6</w:t>
            </w:r>
            <w:r w:rsidR="006F7B69" w:rsidRPr="000A7465">
              <w:rPr>
                <w:rFonts w:ascii="Times New Roman" w:hAnsi="Times New Roman" w:cs="Times New Roman"/>
                <w:sz w:val="18"/>
                <w:szCs w:val="18"/>
              </w:rPr>
              <w:fldChar w:fldCharType="end"/>
            </w:r>
          </w:p>
          <w:p w14:paraId="6E79B3EE" w14:textId="0D6321EC" w:rsidR="00C609F5" w:rsidRPr="000A7465" w:rsidRDefault="00C609F5" w:rsidP="000F122F">
            <w:pPr>
              <w:rPr>
                <w:rFonts w:ascii="Times New Roman" w:hAnsi="Times New Roman" w:cs="Times New Roman"/>
                <w:sz w:val="18"/>
                <w:szCs w:val="18"/>
              </w:rPr>
            </w:pPr>
          </w:p>
          <w:p w14:paraId="4DF89DFE" w14:textId="77777777" w:rsidR="00C609F5" w:rsidRPr="000A7465" w:rsidRDefault="00C609F5" w:rsidP="000F122F">
            <w:pPr>
              <w:rPr>
                <w:rFonts w:ascii="Times New Roman" w:hAnsi="Times New Roman" w:cs="Times New Roman"/>
                <w:sz w:val="18"/>
                <w:szCs w:val="18"/>
              </w:rPr>
            </w:pPr>
          </w:p>
          <w:p w14:paraId="55D20A7D" w14:textId="77777777" w:rsidR="00C609F5" w:rsidRPr="000A7465" w:rsidRDefault="00C609F5" w:rsidP="000F122F">
            <w:pPr>
              <w:rPr>
                <w:rFonts w:ascii="Times New Roman" w:hAnsi="Times New Roman" w:cs="Times New Roman"/>
                <w:sz w:val="18"/>
                <w:szCs w:val="18"/>
              </w:rPr>
            </w:pPr>
            <w:r w:rsidRPr="000A7465">
              <w:rPr>
                <w:rFonts w:ascii="Times New Roman" w:hAnsi="Times New Roman" w:cs="Times New Roman"/>
                <w:b/>
                <w:sz w:val="18"/>
                <w:szCs w:val="18"/>
              </w:rPr>
              <w:t>Study Design</w:t>
            </w:r>
            <w:r w:rsidRPr="000A7465">
              <w:rPr>
                <w:rFonts w:ascii="Times New Roman" w:hAnsi="Times New Roman" w:cs="Times New Roman"/>
                <w:sz w:val="18"/>
                <w:szCs w:val="18"/>
              </w:rPr>
              <w:t>: cluster-randomized controlled trial</w:t>
            </w:r>
          </w:p>
          <w:p w14:paraId="75E948DB" w14:textId="77777777" w:rsidR="00C609F5" w:rsidRPr="000A7465" w:rsidRDefault="00C609F5" w:rsidP="000F122F">
            <w:pPr>
              <w:rPr>
                <w:rFonts w:ascii="Times New Roman" w:hAnsi="Times New Roman" w:cs="Times New Roman"/>
                <w:sz w:val="18"/>
                <w:szCs w:val="18"/>
              </w:rPr>
            </w:pPr>
          </w:p>
          <w:p w14:paraId="119CE589" w14:textId="77777777" w:rsidR="00C609F5" w:rsidRPr="000A7465" w:rsidRDefault="00C609F5" w:rsidP="000F122F">
            <w:pPr>
              <w:rPr>
                <w:rFonts w:ascii="Times New Roman" w:hAnsi="Times New Roman" w:cs="Times New Roman"/>
                <w:sz w:val="18"/>
                <w:szCs w:val="18"/>
              </w:rPr>
            </w:pPr>
            <w:r w:rsidRPr="000A7465">
              <w:rPr>
                <w:rFonts w:ascii="Times New Roman" w:hAnsi="Times New Roman" w:cs="Times New Roman"/>
                <w:b/>
                <w:sz w:val="18"/>
                <w:szCs w:val="18"/>
              </w:rPr>
              <w:t>Level of evidence</w:t>
            </w:r>
            <w:r w:rsidRPr="000A7465">
              <w:rPr>
                <w:rFonts w:ascii="Times New Roman" w:hAnsi="Times New Roman" w:cs="Times New Roman"/>
                <w:sz w:val="18"/>
                <w:szCs w:val="18"/>
              </w:rPr>
              <w:t xml:space="preserve">: 1a </w:t>
            </w:r>
          </w:p>
          <w:p w14:paraId="4B1E6281" w14:textId="77777777" w:rsidR="00C609F5" w:rsidRPr="000A7465" w:rsidRDefault="00C609F5" w:rsidP="000F122F">
            <w:pPr>
              <w:rPr>
                <w:rFonts w:ascii="Times New Roman" w:hAnsi="Times New Roman" w:cs="Times New Roman"/>
                <w:sz w:val="18"/>
                <w:szCs w:val="18"/>
              </w:rPr>
            </w:pPr>
          </w:p>
          <w:p w14:paraId="67B5CF5E" w14:textId="77777777" w:rsidR="00C609F5" w:rsidRPr="000A7465" w:rsidRDefault="00C609F5" w:rsidP="000F122F">
            <w:pPr>
              <w:rPr>
                <w:rFonts w:ascii="Times New Roman" w:hAnsi="Times New Roman" w:cs="Times New Roman"/>
                <w:sz w:val="18"/>
                <w:szCs w:val="18"/>
              </w:rPr>
            </w:pPr>
            <w:r w:rsidRPr="000A7465">
              <w:rPr>
                <w:rFonts w:ascii="Times New Roman" w:hAnsi="Times New Roman" w:cs="Times New Roman"/>
                <w:b/>
                <w:sz w:val="18"/>
                <w:szCs w:val="18"/>
              </w:rPr>
              <w:t>Risk of bias</w:t>
            </w:r>
            <w:r w:rsidRPr="000A7465">
              <w:rPr>
                <w:rFonts w:ascii="Times New Roman" w:hAnsi="Times New Roman" w:cs="Times New Roman"/>
                <w:sz w:val="18"/>
                <w:szCs w:val="18"/>
              </w:rPr>
              <w:t>: 5/10 (</w:t>
            </w:r>
            <w:proofErr w:type="spellStart"/>
            <w:r w:rsidRPr="000A7465">
              <w:rPr>
                <w:rFonts w:ascii="Times New Roman" w:hAnsi="Times New Roman" w:cs="Times New Roman"/>
                <w:sz w:val="18"/>
                <w:szCs w:val="18"/>
              </w:rPr>
              <w:t>PEDro</w:t>
            </w:r>
            <w:proofErr w:type="spellEnd"/>
            <w:r w:rsidRPr="000A7465">
              <w:rPr>
                <w:rFonts w:ascii="Times New Roman" w:hAnsi="Times New Roman" w:cs="Times New Roman"/>
                <w:sz w:val="18"/>
                <w:szCs w:val="18"/>
              </w:rPr>
              <w:t>)</w:t>
            </w:r>
          </w:p>
          <w:p w14:paraId="44E1478D" w14:textId="77777777" w:rsidR="00C609F5" w:rsidRPr="000A7465" w:rsidRDefault="00C609F5" w:rsidP="000F122F">
            <w:pPr>
              <w:rPr>
                <w:rFonts w:ascii="Times New Roman" w:hAnsi="Times New Roman" w:cs="Times New Roman"/>
                <w:sz w:val="18"/>
                <w:szCs w:val="18"/>
              </w:rPr>
            </w:pPr>
          </w:p>
          <w:p w14:paraId="4431FC45" w14:textId="1182D679" w:rsidR="00C609F5" w:rsidRPr="000A7465" w:rsidRDefault="00C609F5" w:rsidP="00A82EC1">
            <w:pPr>
              <w:rPr>
                <w:rFonts w:ascii="Times New Roman" w:hAnsi="Times New Roman" w:cs="Times New Roman"/>
                <w:b/>
                <w:sz w:val="18"/>
                <w:szCs w:val="18"/>
              </w:rPr>
            </w:pPr>
            <w:r w:rsidRPr="000A7465">
              <w:rPr>
                <w:rFonts w:ascii="Times New Roman" w:hAnsi="Times New Roman" w:cs="Times New Roman"/>
                <w:b/>
                <w:sz w:val="18"/>
                <w:szCs w:val="18"/>
              </w:rPr>
              <w:t>Aim</w:t>
            </w:r>
            <w:r w:rsidRPr="000A7465">
              <w:rPr>
                <w:rFonts w:ascii="Times New Roman" w:hAnsi="Times New Roman" w:cs="Times New Roman"/>
                <w:sz w:val="18"/>
                <w:szCs w:val="18"/>
              </w:rPr>
              <w:t>: compare various delivery methods of inject prevention programs on player performance, and determine the impact that adherence on performance and risk of injuries</w:t>
            </w:r>
          </w:p>
        </w:tc>
        <w:tc>
          <w:tcPr>
            <w:tcW w:w="4380" w:type="dxa"/>
          </w:tcPr>
          <w:p w14:paraId="0CFFBE6E" w14:textId="6C32F3DC" w:rsidR="006F7B69" w:rsidRPr="000A7465" w:rsidRDefault="006F7B69" w:rsidP="006F7B69">
            <w:pPr>
              <w:rPr>
                <w:rFonts w:ascii="Times New Roman" w:hAnsi="Times New Roman" w:cs="Times New Roman"/>
                <w:sz w:val="18"/>
                <w:szCs w:val="18"/>
              </w:rPr>
            </w:pPr>
            <w:r w:rsidRPr="000A7465">
              <w:rPr>
                <w:rFonts w:ascii="Times New Roman" w:hAnsi="Times New Roman" w:cs="Times New Roman"/>
                <w:b/>
                <w:sz w:val="18"/>
                <w:szCs w:val="18"/>
              </w:rPr>
              <w:t xml:space="preserve">Allocation: </w:t>
            </w:r>
            <w:r w:rsidR="000A6554" w:rsidRPr="000A7465">
              <w:rPr>
                <w:rFonts w:ascii="Times New Roman" w:hAnsi="Times New Roman" w:cs="Times New Roman"/>
                <w:sz w:val="18"/>
                <w:szCs w:val="18"/>
              </w:rPr>
              <w:t>team</w:t>
            </w:r>
            <w:r w:rsidRPr="000A7465">
              <w:rPr>
                <w:rFonts w:ascii="Times New Roman" w:hAnsi="Times New Roman" w:cs="Times New Roman"/>
                <w:sz w:val="18"/>
                <w:szCs w:val="18"/>
              </w:rPr>
              <w:t xml:space="preserve">s were randomized into one of three groups (control, regular, comprehensive). </w:t>
            </w:r>
          </w:p>
          <w:p w14:paraId="4A393A9B" w14:textId="77777777" w:rsidR="006F7B69" w:rsidRPr="000A7465" w:rsidRDefault="006F7B69" w:rsidP="006F7B69">
            <w:pPr>
              <w:rPr>
                <w:rFonts w:ascii="Times New Roman" w:hAnsi="Times New Roman" w:cs="Times New Roman"/>
                <w:b/>
                <w:sz w:val="18"/>
                <w:szCs w:val="18"/>
              </w:rPr>
            </w:pPr>
          </w:p>
          <w:p w14:paraId="108A3270" w14:textId="77777777" w:rsidR="006F7B69" w:rsidRPr="000A7465" w:rsidRDefault="006F7B69" w:rsidP="006F7B69">
            <w:pPr>
              <w:rPr>
                <w:rFonts w:ascii="Times New Roman" w:hAnsi="Times New Roman" w:cs="Times New Roman"/>
                <w:sz w:val="18"/>
                <w:szCs w:val="18"/>
              </w:rPr>
            </w:pPr>
            <w:r w:rsidRPr="000A7465">
              <w:rPr>
                <w:rFonts w:ascii="Times New Roman" w:hAnsi="Times New Roman" w:cs="Times New Roman"/>
                <w:b/>
                <w:sz w:val="18"/>
                <w:szCs w:val="18"/>
              </w:rPr>
              <w:t>Intervention</w:t>
            </w:r>
            <w:r w:rsidRPr="000A7465">
              <w:rPr>
                <w:rFonts w:ascii="Times New Roman" w:hAnsi="Times New Roman" w:cs="Times New Roman"/>
                <w:sz w:val="18"/>
                <w:szCs w:val="18"/>
              </w:rPr>
              <w:t xml:space="preserve">: </w:t>
            </w:r>
          </w:p>
          <w:p w14:paraId="20BDBC45" w14:textId="68ECD03D" w:rsidR="006F7B69" w:rsidRPr="000A7465" w:rsidRDefault="00DE2D3C" w:rsidP="006F7B69">
            <w:pPr>
              <w:pStyle w:val="ListParagraph"/>
              <w:numPr>
                <w:ilvl w:val="0"/>
                <w:numId w:val="6"/>
              </w:numPr>
              <w:rPr>
                <w:rFonts w:ascii="Times New Roman" w:hAnsi="Times New Roman" w:cs="Times New Roman"/>
                <w:sz w:val="18"/>
                <w:szCs w:val="18"/>
              </w:rPr>
            </w:pPr>
            <w:r w:rsidRPr="000A7465">
              <w:rPr>
                <w:rFonts w:ascii="Times New Roman" w:hAnsi="Times New Roman" w:cs="Times New Roman"/>
                <w:b/>
                <w:sz w:val="18"/>
                <w:szCs w:val="18"/>
              </w:rPr>
              <w:t xml:space="preserve">a) </w:t>
            </w:r>
            <w:r w:rsidR="006F7B69" w:rsidRPr="000A7465">
              <w:rPr>
                <w:rFonts w:ascii="Times New Roman" w:hAnsi="Times New Roman" w:cs="Times New Roman"/>
                <w:b/>
                <w:sz w:val="18"/>
                <w:szCs w:val="18"/>
              </w:rPr>
              <w:t>Regular</w:t>
            </w:r>
            <w:r w:rsidR="000A6554" w:rsidRPr="000A7465">
              <w:rPr>
                <w:rFonts w:ascii="Times New Roman" w:hAnsi="Times New Roman" w:cs="Times New Roman"/>
                <w:sz w:val="18"/>
                <w:szCs w:val="18"/>
              </w:rPr>
              <w:t xml:space="preserve">: 2.5 hour “11+” workshop </w:t>
            </w:r>
            <w:r w:rsidR="006F7B69" w:rsidRPr="000A7465">
              <w:rPr>
                <w:rFonts w:ascii="Times New Roman" w:hAnsi="Times New Roman" w:cs="Times New Roman"/>
                <w:sz w:val="18"/>
                <w:szCs w:val="18"/>
              </w:rPr>
              <w:t xml:space="preserve">for coaches, led by study personnel, coaches provided with copies of </w:t>
            </w:r>
            <w:r w:rsidR="008567C1">
              <w:rPr>
                <w:rFonts w:ascii="Times New Roman" w:hAnsi="Times New Roman" w:cs="Times New Roman"/>
                <w:sz w:val="18"/>
                <w:szCs w:val="18"/>
              </w:rPr>
              <w:t>“</w:t>
            </w:r>
            <w:r w:rsidR="006F7B69" w:rsidRPr="000A7465">
              <w:rPr>
                <w:rFonts w:ascii="Times New Roman" w:hAnsi="Times New Roman" w:cs="Times New Roman"/>
                <w:sz w:val="18"/>
                <w:szCs w:val="18"/>
              </w:rPr>
              <w:t>11+</w:t>
            </w:r>
            <w:r w:rsidR="008567C1">
              <w:rPr>
                <w:rFonts w:ascii="Times New Roman" w:hAnsi="Times New Roman" w:cs="Times New Roman"/>
                <w:sz w:val="18"/>
                <w:szCs w:val="18"/>
              </w:rPr>
              <w:t>”</w:t>
            </w:r>
            <w:r w:rsidR="006F7B69" w:rsidRPr="000A7465">
              <w:rPr>
                <w:rFonts w:ascii="Times New Roman" w:hAnsi="Times New Roman" w:cs="Times New Roman"/>
                <w:sz w:val="18"/>
                <w:szCs w:val="18"/>
              </w:rPr>
              <w:t xml:space="preserve"> material</w:t>
            </w:r>
          </w:p>
          <w:p w14:paraId="29EC64C8" w14:textId="469DEC6E" w:rsidR="006F7B69" w:rsidRPr="000A7465" w:rsidRDefault="00DE2D3C" w:rsidP="006F7B69">
            <w:pPr>
              <w:pStyle w:val="ListParagraph"/>
              <w:numPr>
                <w:ilvl w:val="0"/>
                <w:numId w:val="6"/>
              </w:numPr>
              <w:rPr>
                <w:rFonts w:ascii="Times New Roman" w:hAnsi="Times New Roman" w:cs="Times New Roman"/>
                <w:sz w:val="18"/>
                <w:szCs w:val="18"/>
              </w:rPr>
            </w:pPr>
            <w:r w:rsidRPr="000A7465">
              <w:rPr>
                <w:rFonts w:ascii="Times New Roman" w:hAnsi="Times New Roman" w:cs="Times New Roman"/>
                <w:b/>
                <w:sz w:val="18"/>
                <w:szCs w:val="18"/>
              </w:rPr>
              <w:t xml:space="preserve">b) </w:t>
            </w:r>
            <w:r w:rsidR="006F7B69" w:rsidRPr="000A7465">
              <w:rPr>
                <w:rFonts w:ascii="Times New Roman" w:hAnsi="Times New Roman" w:cs="Times New Roman"/>
                <w:b/>
                <w:sz w:val="18"/>
                <w:szCs w:val="18"/>
              </w:rPr>
              <w:t>Comprehensiv</w:t>
            </w:r>
            <w:r w:rsidR="006F7B69" w:rsidRPr="000A7465">
              <w:rPr>
                <w:rFonts w:ascii="Times New Roman" w:hAnsi="Times New Roman" w:cs="Times New Roman"/>
                <w:sz w:val="18"/>
                <w:szCs w:val="18"/>
              </w:rPr>
              <w:t xml:space="preserve">e: “regular” intention plus a </w:t>
            </w:r>
            <w:r w:rsidR="000A6554" w:rsidRPr="000A7465">
              <w:rPr>
                <w:rFonts w:ascii="Times New Roman" w:hAnsi="Times New Roman" w:cs="Times New Roman"/>
                <w:sz w:val="18"/>
                <w:szCs w:val="18"/>
              </w:rPr>
              <w:t xml:space="preserve">physical therapist </w:t>
            </w:r>
            <w:r w:rsidR="006F7B69" w:rsidRPr="000A7465">
              <w:rPr>
                <w:rFonts w:ascii="Times New Roman" w:hAnsi="Times New Roman" w:cs="Times New Roman"/>
                <w:sz w:val="18"/>
                <w:szCs w:val="18"/>
              </w:rPr>
              <w:t xml:space="preserve">attended practice sessions weekly </w:t>
            </w:r>
            <w:r w:rsidR="000A6554" w:rsidRPr="000A7465">
              <w:rPr>
                <w:rFonts w:ascii="Times New Roman" w:hAnsi="Times New Roman" w:cs="Times New Roman"/>
                <w:sz w:val="18"/>
                <w:szCs w:val="18"/>
              </w:rPr>
              <w:t>to assist</w:t>
            </w:r>
            <w:r w:rsidR="006F7B69" w:rsidRPr="000A7465">
              <w:rPr>
                <w:rFonts w:ascii="Times New Roman" w:hAnsi="Times New Roman" w:cs="Times New Roman"/>
                <w:sz w:val="18"/>
                <w:szCs w:val="18"/>
              </w:rPr>
              <w:t xml:space="preserve"> the coach with </w:t>
            </w:r>
            <w:r w:rsidR="00D66EF6">
              <w:rPr>
                <w:rFonts w:ascii="Times New Roman" w:hAnsi="Times New Roman" w:cs="Times New Roman"/>
                <w:sz w:val="18"/>
                <w:szCs w:val="18"/>
              </w:rPr>
              <w:t>instruction of the “</w:t>
            </w:r>
            <w:r w:rsidR="000A6554" w:rsidRPr="000A7465">
              <w:rPr>
                <w:rFonts w:ascii="Times New Roman" w:hAnsi="Times New Roman" w:cs="Times New Roman"/>
                <w:sz w:val="18"/>
                <w:szCs w:val="18"/>
              </w:rPr>
              <w:t>11+</w:t>
            </w:r>
            <w:r w:rsidR="006F7B69" w:rsidRPr="000A7465">
              <w:rPr>
                <w:rFonts w:ascii="Times New Roman" w:hAnsi="Times New Roman" w:cs="Times New Roman"/>
                <w:sz w:val="18"/>
                <w:szCs w:val="18"/>
              </w:rPr>
              <w:t>.</w:t>
            </w:r>
            <w:r w:rsidR="000A6554" w:rsidRPr="000A7465">
              <w:rPr>
                <w:rFonts w:ascii="Times New Roman" w:hAnsi="Times New Roman" w:cs="Times New Roman"/>
                <w:sz w:val="18"/>
                <w:szCs w:val="18"/>
              </w:rPr>
              <w:t xml:space="preserve">” </w:t>
            </w:r>
          </w:p>
          <w:p w14:paraId="6CE30B98" w14:textId="05DD48B8" w:rsidR="006F7B69" w:rsidRPr="000A7465" w:rsidRDefault="006F7B69" w:rsidP="006F7B69">
            <w:pPr>
              <w:rPr>
                <w:rFonts w:ascii="Times New Roman" w:hAnsi="Times New Roman" w:cs="Times New Roman"/>
                <w:sz w:val="18"/>
                <w:szCs w:val="18"/>
              </w:rPr>
            </w:pPr>
            <w:r w:rsidRPr="000A7465">
              <w:rPr>
                <w:rFonts w:ascii="Times New Roman" w:hAnsi="Times New Roman" w:cs="Times New Roman"/>
                <w:b/>
                <w:sz w:val="18"/>
                <w:szCs w:val="18"/>
              </w:rPr>
              <w:t>Control</w:t>
            </w:r>
            <w:r w:rsidRPr="000A7465">
              <w:rPr>
                <w:rFonts w:ascii="Times New Roman" w:hAnsi="Times New Roman" w:cs="Times New Roman"/>
                <w:sz w:val="18"/>
                <w:szCs w:val="18"/>
              </w:rPr>
              <w:t xml:space="preserve">: teams </w:t>
            </w:r>
            <w:r w:rsidR="00DE2D3C" w:rsidRPr="000A7465">
              <w:rPr>
                <w:rFonts w:ascii="Times New Roman" w:hAnsi="Times New Roman" w:cs="Times New Roman"/>
                <w:sz w:val="18"/>
                <w:szCs w:val="18"/>
              </w:rPr>
              <w:t>and</w:t>
            </w:r>
            <w:r w:rsidR="00D66EF6">
              <w:rPr>
                <w:rFonts w:ascii="Times New Roman" w:hAnsi="Times New Roman" w:cs="Times New Roman"/>
                <w:sz w:val="18"/>
                <w:szCs w:val="18"/>
              </w:rPr>
              <w:t xml:space="preserve"> coaches were instructed in the “</w:t>
            </w:r>
            <w:r w:rsidR="00DE2D3C" w:rsidRPr="000A7465">
              <w:rPr>
                <w:rFonts w:ascii="Times New Roman" w:hAnsi="Times New Roman" w:cs="Times New Roman"/>
                <w:sz w:val="18"/>
                <w:szCs w:val="18"/>
              </w:rPr>
              <w:t xml:space="preserve">11+” </w:t>
            </w:r>
            <w:r w:rsidRPr="000A7465">
              <w:rPr>
                <w:rFonts w:ascii="Times New Roman" w:hAnsi="Times New Roman" w:cs="Times New Roman"/>
                <w:sz w:val="18"/>
                <w:szCs w:val="18"/>
              </w:rPr>
              <w:t>protocol through a website (unsupervised), no additional supervision</w:t>
            </w:r>
          </w:p>
          <w:p w14:paraId="5D40B63C" w14:textId="77777777" w:rsidR="006F7B69" w:rsidRPr="000A7465" w:rsidRDefault="006F7B69" w:rsidP="006F7B69">
            <w:pPr>
              <w:rPr>
                <w:rFonts w:ascii="Times New Roman" w:hAnsi="Times New Roman" w:cs="Times New Roman"/>
                <w:sz w:val="18"/>
                <w:szCs w:val="18"/>
              </w:rPr>
            </w:pPr>
          </w:p>
          <w:p w14:paraId="169C0AEB" w14:textId="77777777" w:rsidR="006F7B69" w:rsidRPr="000A7465" w:rsidRDefault="006F7B69" w:rsidP="006F7B69">
            <w:pPr>
              <w:rPr>
                <w:rFonts w:ascii="Times New Roman" w:hAnsi="Times New Roman" w:cs="Times New Roman"/>
                <w:sz w:val="18"/>
                <w:szCs w:val="18"/>
              </w:rPr>
            </w:pPr>
            <w:r w:rsidRPr="000A7465">
              <w:rPr>
                <w:rFonts w:ascii="Times New Roman" w:hAnsi="Times New Roman" w:cs="Times New Roman"/>
                <w:b/>
                <w:sz w:val="18"/>
                <w:szCs w:val="18"/>
              </w:rPr>
              <w:t>Participants</w:t>
            </w:r>
            <w:r w:rsidRPr="000A7465">
              <w:rPr>
                <w:rFonts w:ascii="Times New Roman" w:hAnsi="Times New Roman" w:cs="Times New Roman"/>
                <w:sz w:val="18"/>
                <w:szCs w:val="18"/>
              </w:rPr>
              <w:t xml:space="preserve">: female soccer players aged 13-18 who played for 2 different clubs in Alberta Canada </w:t>
            </w:r>
          </w:p>
          <w:p w14:paraId="7B5B9B28" w14:textId="77777777" w:rsidR="006F7B69" w:rsidRPr="000A7465" w:rsidRDefault="006F7B69" w:rsidP="006F7B69">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rPr>
              <w:t>Control: 11 teams (135 players)</w:t>
            </w:r>
          </w:p>
          <w:p w14:paraId="045C39CE" w14:textId="77777777" w:rsidR="006F7B69" w:rsidRPr="000A7465" w:rsidRDefault="006F7B69" w:rsidP="006F7B69">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rPr>
              <w:t>Regular intervention: 8 teams (121 players)</w:t>
            </w:r>
          </w:p>
          <w:p w14:paraId="61225971" w14:textId="77777777" w:rsidR="006F7B69" w:rsidRPr="000A7465" w:rsidRDefault="006F7B69" w:rsidP="006F7B69">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rPr>
              <w:t xml:space="preserve">Comprehensive: 10 teams (129 players) </w:t>
            </w:r>
          </w:p>
          <w:p w14:paraId="7DCE3A6F" w14:textId="77777777" w:rsidR="006F7B69" w:rsidRPr="000A7465" w:rsidRDefault="006F7B69" w:rsidP="006F7B69">
            <w:pPr>
              <w:ind w:left="72"/>
              <w:rPr>
                <w:rFonts w:ascii="Times New Roman" w:hAnsi="Times New Roman" w:cs="Times New Roman"/>
                <w:sz w:val="18"/>
                <w:szCs w:val="18"/>
              </w:rPr>
            </w:pPr>
          </w:p>
          <w:p w14:paraId="5F862F19" w14:textId="0E102E42" w:rsidR="006F7B69" w:rsidRPr="000A7465" w:rsidRDefault="006F7B69" w:rsidP="000F122F">
            <w:pPr>
              <w:rPr>
                <w:rFonts w:ascii="Times New Roman" w:hAnsi="Times New Roman" w:cs="Times New Roman"/>
                <w:sz w:val="18"/>
                <w:szCs w:val="18"/>
              </w:rPr>
            </w:pPr>
            <w:r w:rsidRPr="000A7465">
              <w:rPr>
                <w:rFonts w:ascii="Times New Roman" w:hAnsi="Times New Roman" w:cs="Times New Roman"/>
                <w:b/>
                <w:sz w:val="18"/>
                <w:szCs w:val="18"/>
              </w:rPr>
              <w:t>Study length</w:t>
            </w:r>
            <w:r w:rsidRPr="000A7465">
              <w:rPr>
                <w:rFonts w:ascii="Times New Roman" w:hAnsi="Times New Roman" w:cs="Times New Roman"/>
                <w:sz w:val="18"/>
                <w:szCs w:val="18"/>
              </w:rPr>
              <w:t xml:space="preserve">: 4-month season </w:t>
            </w:r>
          </w:p>
          <w:p w14:paraId="39C9C7B8" w14:textId="77777777" w:rsidR="006F7B69" w:rsidRPr="000A7465" w:rsidRDefault="006F7B69" w:rsidP="000F122F">
            <w:pPr>
              <w:rPr>
                <w:rFonts w:ascii="Times New Roman" w:hAnsi="Times New Roman" w:cs="Times New Roman"/>
                <w:b/>
                <w:sz w:val="18"/>
                <w:szCs w:val="18"/>
              </w:rPr>
            </w:pPr>
          </w:p>
          <w:p w14:paraId="73352ABF" w14:textId="0EF72970" w:rsidR="00C609F5" w:rsidRPr="000A7465" w:rsidRDefault="00C609F5" w:rsidP="00DE2D3C">
            <w:pPr>
              <w:rPr>
                <w:rFonts w:ascii="Times New Roman" w:hAnsi="Times New Roman" w:cs="Times New Roman"/>
                <w:sz w:val="18"/>
                <w:szCs w:val="18"/>
              </w:rPr>
            </w:pPr>
            <w:r w:rsidRPr="000A7465">
              <w:rPr>
                <w:rFonts w:ascii="Times New Roman" w:hAnsi="Times New Roman" w:cs="Times New Roman"/>
                <w:b/>
                <w:sz w:val="18"/>
                <w:szCs w:val="18"/>
              </w:rPr>
              <w:t>Primary Outcome</w:t>
            </w:r>
            <w:r w:rsidRPr="000A7465">
              <w:rPr>
                <w:rFonts w:ascii="Times New Roman" w:hAnsi="Times New Roman" w:cs="Times New Roman"/>
                <w:sz w:val="18"/>
                <w:szCs w:val="18"/>
              </w:rPr>
              <w:t>: Player performance as measured by Star Excursion Balance Test (SEBT), single-leg balance, triple hop and jumping-over-a-bar tests</w:t>
            </w:r>
          </w:p>
          <w:p w14:paraId="59B5D41A" w14:textId="77777777" w:rsidR="00C609F5" w:rsidRPr="000A7465" w:rsidRDefault="00C609F5" w:rsidP="000F122F">
            <w:pPr>
              <w:rPr>
                <w:rFonts w:ascii="Times New Roman" w:hAnsi="Times New Roman" w:cs="Times New Roman"/>
                <w:sz w:val="18"/>
                <w:szCs w:val="18"/>
              </w:rPr>
            </w:pPr>
            <w:r w:rsidRPr="000A7465">
              <w:rPr>
                <w:rFonts w:ascii="Times New Roman" w:hAnsi="Times New Roman" w:cs="Times New Roman"/>
                <w:b/>
                <w:sz w:val="18"/>
                <w:szCs w:val="18"/>
              </w:rPr>
              <w:t>Secondary Outcomes</w:t>
            </w:r>
            <w:r w:rsidRPr="000A7465">
              <w:rPr>
                <w:rFonts w:ascii="Times New Roman" w:hAnsi="Times New Roman" w:cs="Times New Roman"/>
                <w:sz w:val="18"/>
                <w:szCs w:val="18"/>
              </w:rPr>
              <w:t>:</w:t>
            </w:r>
          </w:p>
          <w:p w14:paraId="4CA7AF1E" w14:textId="37C35DA0" w:rsidR="00C609F5" w:rsidRPr="000A7465" w:rsidRDefault="00C609F5" w:rsidP="0014011D">
            <w:pPr>
              <w:pStyle w:val="ListParagraph"/>
              <w:numPr>
                <w:ilvl w:val="0"/>
                <w:numId w:val="8"/>
              </w:numPr>
              <w:rPr>
                <w:rFonts w:ascii="Times New Roman" w:hAnsi="Times New Roman" w:cs="Times New Roman"/>
                <w:sz w:val="18"/>
                <w:szCs w:val="18"/>
              </w:rPr>
            </w:pPr>
            <w:r w:rsidRPr="000A7465">
              <w:rPr>
                <w:rFonts w:ascii="Times New Roman" w:hAnsi="Times New Roman" w:cs="Times New Roman"/>
                <w:sz w:val="18"/>
                <w:szCs w:val="18"/>
              </w:rPr>
              <w:t xml:space="preserve">Compliance with the </w:t>
            </w:r>
            <w:r w:rsidR="00D66EF6">
              <w:rPr>
                <w:rFonts w:ascii="Times New Roman" w:hAnsi="Times New Roman" w:cs="Times New Roman"/>
                <w:sz w:val="18"/>
                <w:szCs w:val="18"/>
              </w:rPr>
              <w:t>“</w:t>
            </w:r>
            <w:r w:rsidRPr="000A7465">
              <w:rPr>
                <w:rFonts w:ascii="Times New Roman" w:hAnsi="Times New Roman" w:cs="Times New Roman"/>
                <w:sz w:val="18"/>
                <w:szCs w:val="18"/>
              </w:rPr>
              <w:t>11+</w:t>
            </w:r>
            <w:r w:rsidR="00D66EF6">
              <w:rPr>
                <w:rFonts w:ascii="Times New Roman" w:hAnsi="Times New Roman" w:cs="Times New Roman"/>
                <w:sz w:val="18"/>
                <w:szCs w:val="18"/>
              </w:rPr>
              <w:t>”</w:t>
            </w:r>
            <w:r w:rsidRPr="000A7465">
              <w:rPr>
                <w:rFonts w:ascii="Times New Roman" w:hAnsi="Times New Roman" w:cs="Times New Roman"/>
                <w:sz w:val="18"/>
                <w:szCs w:val="18"/>
              </w:rPr>
              <w:t xml:space="preserve"> protocol </w:t>
            </w:r>
          </w:p>
        </w:tc>
        <w:tc>
          <w:tcPr>
            <w:tcW w:w="4584" w:type="dxa"/>
          </w:tcPr>
          <w:p w14:paraId="050871CB" w14:textId="31C61F99" w:rsidR="00C609F5" w:rsidRPr="000A7465" w:rsidRDefault="000A6554" w:rsidP="000F122F">
            <w:pPr>
              <w:rPr>
                <w:rFonts w:ascii="Times New Roman" w:hAnsi="Times New Roman" w:cs="Times New Roman"/>
                <w:b/>
                <w:sz w:val="18"/>
                <w:szCs w:val="18"/>
              </w:rPr>
            </w:pPr>
            <w:r w:rsidRPr="000A7465">
              <w:rPr>
                <w:rFonts w:ascii="Times New Roman" w:hAnsi="Times New Roman" w:cs="Times New Roman"/>
                <w:b/>
                <w:sz w:val="18"/>
                <w:szCs w:val="18"/>
              </w:rPr>
              <w:t>Compliance</w:t>
            </w:r>
            <w:r w:rsidR="00C609F5" w:rsidRPr="000A7465">
              <w:rPr>
                <w:rFonts w:ascii="Times New Roman" w:hAnsi="Times New Roman" w:cs="Times New Roman"/>
                <w:b/>
                <w:sz w:val="18"/>
                <w:szCs w:val="18"/>
              </w:rPr>
              <w:t>:</w:t>
            </w:r>
            <w:r w:rsidR="002D0F44" w:rsidRPr="000A7465">
              <w:rPr>
                <w:rFonts w:ascii="Times New Roman" w:hAnsi="Times New Roman" w:cs="Times New Roman"/>
                <w:i/>
                <w:sz w:val="18"/>
                <w:szCs w:val="18"/>
              </w:rPr>
              <w:t xml:space="preserve"> independent of group assigned to</w:t>
            </w:r>
          </w:p>
          <w:p w14:paraId="5D702380" w14:textId="7F59BD94" w:rsidR="00C609F5" w:rsidRPr="000A7465" w:rsidRDefault="00C609F5" w:rsidP="000F122F">
            <w:pPr>
              <w:pStyle w:val="ListParagraph"/>
              <w:numPr>
                <w:ilvl w:val="1"/>
                <w:numId w:val="10"/>
              </w:numPr>
              <w:rPr>
                <w:rFonts w:ascii="Times New Roman" w:hAnsi="Times New Roman" w:cs="Times New Roman"/>
                <w:sz w:val="18"/>
                <w:szCs w:val="18"/>
              </w:rPr>
            </w:pPr>
            <w:r w:rsidRPr="000A7465">
              <w:rPr>
                <w:rFonts w:ascii="Times New Roman" w:hAnsi="Times New Roman" w:cs="Times New Roman"/>
                <w:sz w:val="18"/>
                <w:szCs w:val="18"/>
              </w:rPr>
              <w:t xml:space="preserve">High adherence: completed </w:t>
            </w:r>
            <w:proofErr w:type="spellStart"/>
            <w:r w:rsidRPr="000A7465">
              <w:rPr>
                <w:rFonts w:ascii="Times New Roman" w:hAnsi="Times New Roman" w:cs="Times New Roman"/>
                <w:sz w:val="18"/>
                <w:szCs w:val="18"/>
              </w:rPr>
              <w:t>avg</w:t>
            </w:r>
            <w:proofErr w:type="spellEnd"/>
            <w:r w:rsidRPr="000A7465">
              <w:rPr>
                <w:rFonts w:ascii="Times New Roman" w:hAnsi="Times New Roman" w:cs="Times New Roman"/>
                <w:sz w:val="18"/>
                <w:szCs w:val="18"/>
              </w:rPr>
              <w:t xml:space="preserve"> 23.4 </w:t>
            </w:r>
            <w:r w:rsidR="002D0F44" w:rsidRPr="000A7465">
              <w:rPr>
                <w:rFonts w:ascii="Times New Roman" w:hAnsi="Times New Roman" w:cs="Times New Roman"/>
                <w:sz w:val="18"/>
                <w:szCs w:val="18"/>
              </w:rPr>
              <w:t>sessions, 271.2 exercises, 2.2</w:t>
            </w:r>
            <w:r w:rsidR="00585E4A" w:rsidRPr="000A7465">
              <w:rPr>
                <w:rFonts w:ascii="Times New Roman" w:hAnsi="Times New Roman" w:cs="Times New Roman"/>
                <w:sz w:val="18"/>
                <w:szCs w:val="18"/>
              </w:rPr>
              <w:t xml:space="preserve"> sessions/</w:t>
            </w:r>
            <w:r w:rsidRPr="000A7465">
              <w:rPr>
                <w:rFonts w:ascii="Times New Roman" w:hAnsi="Times New Roman" w:cs="Times New Roman"/>
                <w:sz w:val="18"/>
                <w:szCs w:val="18"/>
              </w:rPr>
              <w:t xml:space="preserve">week </w:t>
            </w:r>
          </w:p>
          <w:p w14:paraId="320EC808" w14:textId="77777777" w:rsidR="00C609F5" w:rsidRPr="000A7465" w:rsidRDefault="00C609F5" w:rsidP="000F122F">
            <w:pPr>
              <w:pStyle w:val="ListParagraph"/>
              <w:numPr>
                <w:ilvl w:val="1"/>
                <w:numId w:val="10"/>
              </w:numPr>
              <w:rPr>
                <w:rFonts w:ascii="Times New Roman" w:hAnsi="Times New Roman" w:cs="Times New Roman"/>
                <w:sz w:val="18"/>
                <w:szCs w:val="18"/>
              </w:rPr>
            </w:pPr>
            <w:r w:rsidRPr="000A7465">
              <w:rPr>
                <w:rFonts w:ascii="Times New Roman" w:hAnsi="Times New Roman" w:cs="Times New Roman"/>
                <w:sz w:val="18"/>
                <w:szCs w:val="18"/>
              </w:rPr>
              <w:t xml:space="preserve">Medium-adherence: completed </w:t>
            </w:r>
            <w:proofErr w:type="spellStart"/>
            <w:r w:rsidRPr="000A7465">
              <w:rPr>
                <w:rFonts w:ascii="Times New Roman" w:hAnsi="Times New Roman" w:cs="Times New Roman"/>
                <w:sz w:val="18"/>
                <w:szCs w:val="18"/>
              </w:rPr>
              <w:t>avg</w:t>
            </w:r>
            <w:proofErr w:type="spellEnd"/>
            <w:r w:rsidRPr="000A7465">
              <w:rPr>
                <w:rFonts w:ascii="Times New Roman" w:hAnsi="Times New Roman" w:cs="Times New Roman"/>
                <w:sz w:val="18"/>
                <w:szCs w:val="18"/>
              </w:rPr>
              <w:t xml:space="preserve"> 18 sessions, 161 exercises, </w:t>
            </w:r>
          </w:p>
          <w:p w14:paraId="7C1CAF46" w14:textId="38486FA3" w:rsidR="00C609F5" w:rsidRPr="000A7465" w:rsidRDefault="00C609F5" w:rsidP="000F122F">
            <w:pPr>
              <w:pStyle w:val="ListParagraph"/>
              <w:numPr>
                <w:ilvl w:val="1"/>
                <w:numId w:val="10"/>
              </w:numPr>
              <w:rPr>
                <w:rFonts w:ascii="Times New Roman" w:hAnsi="Times New Roman" w:cs="Times New Roman"/>
                <w:sz w:val="18"/>
                <w:szCs w:val="18"/>
              </w:rPr>
            </w:pPr>
            <w:r w:rsidRPr="000A7465">
              <w:rPr>
                <w:rFonts w:ascii="Times New Roman" w:hAnsi="Times New Roman" w:cs="Times New Roman"/>
                <w:sz w:val="18"/>
                <w:szCs w:val="18"/>
              </w:rPr>
              <w:t xml:space="preserve">Low-adherence: completed </w:t>
            </w:r>
            <w:proofErr w:type="spellStart"/>
            <w:r w:rsidRPr="000A7465">
              <w:rPr>
                <w:rFonts w:ascii="Times New Roman" w:hAnsi="Times New Roman" w:cs="Times New Roman"/>
                <w:sz w:val="18"/>
                <w:szCs w:val="18"/>
              </w:rPr>
              <w:t>avg</w:t>
            </w:r>
            <w:proofErr w:type="spellEnd"/>
            <w:r w:rsidRPr="000A7465">
              <w:rPr>
                <w:rFonts w:ascii="Times New Roman" w:hAnsi="Times New Roman" w:cs="Times New Roman"/>
                <w:sz w:val="18"/>
                <w:szCs w:val="18"/>
              </w:rPr>
              <w:t xml:space="preserve"> 9.8 sessions</w:t>
            </w:r>
            <w:r w:rsidR="00585E4A" w:rsidRPr="000A7465">
              <w:rPr>
                <w:rFonts w:ascii="Times New Roman" w:hAnsi="Times New Roman" w:cs="Times New Roman"/>
                <w:sz w:val="18"/>
                <w:szCs w:val="18"/>
              </w:rPr>
              <w:t>, 71.3 exercises, 1.5 sessions/</w:t>
            </w:r>
            <w:r w:rsidRPr="000A7465">
              <w:rPr>
                <w:rFonts w:ascii="Times New Roman" w:hAnsi="Times New Roman" w:cs="Times New Roman"/>
                <w:sz w:val="18"/>
                <w:szCs w:val="18"/>
              </w:rPr>
              <w:t xml:space="preserve">week </w:t>
            </w:r>
          </w:p>
          <w:p w14:paraId="737CFE7F" w14:textId="77777777" w:rsidR="00C609F5" w:rsidRPr="000A7465" w:rsidRDefault="00C609F5" w:rsidP="000F122F">
            <w:pPr>
              <w:rPr>
                <w:rFonts w:ascii="Times New Roman" w:hAnsi="Times New Roman" w:cs="Times New Roman"/>
                <w:sz w:val="18"/>
                <w:szCs w:val="18"/>
              </w:rPr>
            </w:pPr>
          </w:p>
          <w:p w14:paraId="6A489774" w14:textId="72FF4F2E" w:rsidR="00C609F5" w:rsidRPr="000A7465" w:rsidRDefault="00C609F5" w:rsidP="00585E4A">
            <w:pPr>
              <w:rPr>
                <w:rFonts w:ascii="Times New Roman" w:hAnsi="Times New Roman" w:cs="Times New Roman"/>
                <w:i/>
                <w:sz w:val="18"/>
                <w:szCs w:val="18"/>
              </w:rPr>
            </w:pPr>
            <w:r w:rsidRPr="000A7465">
              <w:rPr>
                <w:rFonts w:ascii="Times New Roman" w:hAnsi="Times New Roman" w:cs="Times New Roman"/>
                <w:b/>
                <w:sz w:val="18"/>
                <w:szCs w:val="18"/>
              </w:rPr>
              <w:t>Adherence and Risk of Injury</w:t>
            </w:r>
            <w:r w:rsidR="00585E4A" w:rsidRPr="000A7465">
              <w:rPr>
                <w:rFonts w:ascii="Times New Roman" w:hAnsi="Times New Roman" w:cs="Times New Roman"/>
                <w:b/>
                <w:sz w:val="18"/>
                <w:szCs w:val="18"/>
              </w:rPr>
              <w:t xml:space="preserve"> – </w:t>
            </w:r>
            <w:r w:rsidR="00585E4A" w:rsidRPr="000A7465">
              <w:rPr>
                <w:rFonts w:ascii="Times New Roman" w:hAnsi="Times New Roman" w:cs="Times New Roman"/>
                <w:i/>
                <w:sz w:val="18"/>
                <w:szCs w:val="18"/>
              </w:rPr>
              <w:t>high adherence relative to...</w:t>
            </w:r>
          </w:p>
          <w:tbl>
            <w:tblPr>
              <w:tblStyle w:val="TableGrid"/>
              <w:tblW w:w="0" w:type="auto"/>
              <w:tblLayout w:type="fixed"/>
              <w:tblLook w:val="04A0" w:firstRow="1" w:lastRow="0" w:firstColumn="1" w:lastColumn="0" w:noHBand="0" w:noVBand="1"/>
            </w:tblPr>
            <w:tblGrid>
              <w:gridCol w:w="2481"/>
              <w:gridCol w:w="630"/>
              <w:gridCol w:w="1080"/>
            </w:tblGrid>
            <w:tr w:rsidR="00585E4A" w:rsidRPr="000A7465" w14:paraId="4BFC21B5" w14:textId="77777777" w:rsidTr="00585E4A">
              <w:tc>
                <w:tcPr>
                  <w:tcW w:w="2481" w:type="dxa"/>
                </w:tcPr>
                <w:p w14:paraId="6D8A4331" w14:textId="1D73E848" w:rsidR="00585E4A" w:rsidRPr="000A7465" w:rsidRDefault="00585E4A" w:rsidP="00585E4A">
                  <w:pPr>
                    <w:rPr>
                      <w:rFonts w:ascii="Times New Roman" w:hAnsi="Times New Roman" w:cs="Times New Roman"/>
                      <w:b/>
                      <w:i/>
                      <w:sz w:val="18"/>
                      <w:szCs w:val="18"/>
                    </w:rPr>
                  </w:pPr>
                  <w:r w:rsidRPr="000A7465">
                    <w:rPr>
                      <w:rFonts w:ascii="Times New Roman" w:hAnsi="Times New Roman" w:cs="Times New Roman"/>
                      <w:sz w:val="18"/>
                      <w:szCs w:val="18"/>
                    </w:rPr>
                    <w:t xml:space="preserve"> </w:t>
                  </w:r>
                  <w:r w:rsidRPr="000A7465">
                    <w:rPr>
                      <w:rFonts w:ascii="Times New Roman" w:hAnsi="Times New Roman" w:cs="Times New Roman"/>
                      <w:b/>
                      <w:i/>
                      <w:sz w:val="18"/>
                      <w:szCs w:val="18"/>
                    </w:rPr>
                    <w:t>relative to high-adherence…</w:t>
                  </w:r>
                </w:p>
              </w:tc>
              <w:tc>
                <w:tcPr>
                  <w:tcW w:w="630" w:type="dxa"/>
                </w:tcPr>
                <w:p w14:paraId="6C40B273" w14:textId="29C56915" w:rsidR="00585E4A" w:rsidRPr="000A7465" w:rsidRDefault="00585E4A" w:rsidP="000F122F">
                  <w:pPr>
                    <w:rPr>
                      <w:rFonts w:ascii="Times New Roman" w:hAnsi="Times New Roman" w:cs="Times New Roman"/>
                      <w:b/>
                      <w:sz w:val="18"/>
                      <w:szCs w:val="18"/>
                    </w:rPr>
                  </w:pPr>
                  <w:r w:rsidRPr="000A7465">
                    <w:rPr>
                      <w:rFonts w:ascii="Times New Roman" w:hAnsi="Times New Roman" w:cs="Times New Roman"/>
                      <w:b/>
                      <w:sz w:val="18"/>
                      <w:szCs w:val="18"/>
                    </w:rPr>
                    <w:t>IRR</w:t>
                  </w:r>
                </w:p>
              </w:tc>
              <w:tc>
                <w:tcPr>
                  <w:tcW w:w="1080" w:type="dxa"/>
                </w:tcPr>
                <w:p w14:paraId="090AC52A" w14:textId="77777777" w:rsidR="00585E4A" w:rsidRPr="000A7465" w:rsidRDefault="00585E4A" w:rsidP="000F122F">
                  <w:pPr>
                    <w:rPr>
                      <w:rFonts w:ascii="Times New Roman" w:hAnsi="Times New Roman" w:cs="Times New Roman"/>
                      <w:b/>
                      <w:sz w:val="18"/>
                      <w:szCs w:val="18"/>
                    </w:rPr>
                  </w:pPr>
                  <w:r w:rsidRPr="000A7465">
                    <w:rPr>
                      <w:rFonts w:ascii="Times New Roman" w:hAnsi="Times New Roman" w:cs="Times New Roman"/>
                      <w:b/>
                      <w:sz w:val="18"/>
                      <w:szCs w:val="18"/>
                    </w:rPr>
                    <w:t>95% CI</w:t>
                  </w:r>
                </w:p>
              </w:tc>
            </w:tr>
            <w:tr w:rsidR="00585E4A" w:rsidRPr="000A7465" w14:paraId="339063D5" w14:textId="77777777" w:rsidTr="00585E4A">
              <w:trPr>
                <w:trHeight w:val="179"/>
              </w:trPr>
              <w:tc>
                <w:tcPr>
                  <w:tcW w:w="2481" w:type="dxa"/>
                </w:tcPr>
                <w:p w14:paraId="22A60295" w14:textId="78C47F55" w:rsidR="00585E4A" w:rsidRPr="000A7465" w:rsidRDefault="00585E4A" w:rsidP="000F122F">
                  <w:pPr>
                    <w:rPr>
                      <w:rFonts w:ascii="Times New Roman" w:hAnsi="Times New Roman" w:cs="Times New Roman"/>
                      <w:sz w:val="18"/>
                      <w:szCs w:val="18"/>
                    </w:rPr>
                  </w:pPr>
                  <w:r w:rsidRPr="000A7465">
                    <w:rPr>
                      <w:rFonts w:ascii="Times New Roman" w:hAnsi="Times New Roman" w:cs="Times New Roman"/>
                      <w:sz w:val="18"/>
                      <w:szCs w:val="18"/>
                    </w:rPr>
                    <w:t>all injury medium-adherence</w:t>
                  </w:r>
                </w:p>
              </w:tc>
              <w:tc>
                <w:tcPr>
                  <w:tcW w:w="630" w:type="dxa"/>
                </w:tcPr>
                <w:p w14:paraId="55BDE233" w14:textId="0F7A28AE" w:rsidR="00585E4A" w:rsidRPr="000A7465" w:rsidRDefault="00585E4A" w:rsidP="000F122F">
                  <w:pPr>
                    <w:rPr>
                      <w:rFonts w:ascii="Times New Roman" w:hAnsi="Times New Roman" w:cs="Times New Roman"/>
                      <w:sz w:val="18"/>
                      <w:szCs w:val="18"/>
                    </w:rPr>
                  </w:pPr>
                  <w:r w:rsidRPr="000A7465">
                    <w:rPr>
                      <w:rFonts w:ascii="Times New Roman" w:hAnsi="Times New Roman" w:cs="Times New Roman"/>
                      <w:sz w:val="18"/>
                      <w:szCs w:val="18"/>
                    </w:rPr>
                    <w:t>0.28</w:t>
                  </w:r>
                </w:p>
              </w:tc>
              <w:tc>
                <w:tcPr>
                  <w:tcW w:w="1080" w:type="dxa"/>
                </w:tcPr>
                <w:p w14:paraId="709B90B9" w14:textId="386EFD2B" w:rsidR="00585E4A" w:rsidRPr="000A7465" w:rsidRDefault="00585E4A" w:rsidP="000F122F">
                  <w:pPr>
                    <w:rPr>
                      <w:rFonts w:ascii="Times New Roman" w:hAnsi="Times New Roman" w:cs="Times New Roman"/>
                      <w:sz w:val="18"/>
                      <w:szCs w:val="18"/>
                    </w:rPr>
                  </w:pPr>
                  <w:r w:rsidRPr="000A7465">
                    <w:rPr>
                      <w:rFonts w:ascii="Times New Roman" w:hAnsi="Times New Roman" w:cs="Times New Roman"/>
                      <w:sz w:val="18"/>
                      <w:szCs w:val="18"/>
                    </w:rPr>
                    <w:t>0.10-0.79*</w:t>
                  </w:r>
                </w:p>
              </w:tc>
            </w:tr>
            <w:tr w:rsidR="00585E4A" w:rsidRPr="000A7465" w14:paraId="6F79C908" w14:textId="77777777" w:rsidTr="00585E4A">
              <w:trPr>
                <w:trHeight w:val="170"/>
              </w:trPr>
              <w:tc>
                <w:tcPr>
                  <w:tcW w:w="2481" w:type="dxa"/>
                </w:tcPr>
                <w:p w14:paraId="4552B0C1" w14:textId="645EE7D6" w:rsidR="00585E4A" w:rsidRPr="000A7465" w:rsidRDefault="00585E4A" w:rsidP="000F122F">
                  <w:pPr>
                    <w:rPr>
                      <w:rFonts w:ascii="Times New Roman" w:hAnsi="Times New Roman" w:cs="Times New Roman"/>
                      <w:sz w:val="18"/>
                      <w:szCs w:val="18"/>
                    </w:rPr>
                  </w:pPr>
                  <w:r w:rsidRPr="000A7465">
                    <w:rPr>
                      <w:rFonts w:ascii="Times New Roman" w:hAnsi="Times New Roman" w:cs="Times New Roman"/>
                      <w:sz w:val="18"/>
                      <w:szCs w:val="18"/>
                    </w:rPr>
                    <w:t>all injury low-adherence</w:t>
                  </w:r>
                </w:p>
              </w:tc>
              <w:tc>
                <w:tcPr>
                  <w:tcW w:w="630" w:type="dxa"/>
                </w:tcPr>
                <w:p w14:paraId="1053B5CE" w14:textId="622A8CD6" w:rsidR="00585E4A" w:rsidRPr="000A7465" w:rsidRDefault="00585E4A" w:rsidP="000F122F">
                  <w:pPr>
                    <w:rPr>
                      <w:rFonts w:ascii="Times New Roman" w:hAnsi="Times New Roman" w:cs="Times New Roman"/>
                      <w:sz w:val="18"/>
                      <w:szCs w:val="18"/>
                    </w:rPr>
                  </w:pPr>
                  <w:r w:rsidRPr="000A7465">
                    <w:rPr>
                      <w:rFonts w:ascii="Times New Roman" w:hAnsi="Times New Roman" w:cs="Times New Roman"/>
                      <w:sz w:val="18"/>
                      <w:szCs w:val="18"/>
                    </w:rPr>
                    <w:t>0.46</w:t>
                  </w:r>
                </w:p>
              </w:tc>
              <w:tc>
                <w:tcPr>
                  <w:tcW w:w="1080" w:type="dxa"/>
                </w:tcPr>
                <w:p w14:paraId="76726391" w14:textId="1805FAB0" w:rsidR="00585E4A" w:rsidRPr="000A7465" w:rsidRDefault="00585E4A" w:rsidP="000F122F">
                  <w:pPr>
                    <w:rPr>
                      <w:rFonts w:ascii="Times New Roman" w:hAnsi="Times New Roman" w:cs="Times New Roman"/>
                      <w:sz w:val="18"/>
                      <w:szCs w:val="18"/>
                    </w:rPr>
                  </w:pPr>
                  <w:r w:rsidRPr="000A7465">
                    <w:rPr>
                      <w:rFonts w:ascii="Times New Roman" w:hAnsi="Times New Roman" w:cs="Times New Roman"/>
                      <w:sz w:val="18"/>
                      <w:szCs w:val="18"/>
                    </w:rPr>
                    <w:t>0.15-1.49</w:t>
                  </w:r>
                </w:p>
              </w:tc>
            </w:tr>
            <w:tr w:rsidR="00585E4A" w:rsidRPr="000A7465" w14:paraId="4054EA56" w14:textId="77777777" w:rsidTr="00585E4A">
              <w:trPr>
                <w:trHeight w:val="165"/>
              </w:trPr>
              <w:tc>
                <w:tcPr>
                  <w:tcW w:w="2481" w:type="dxa"/>
                </w:tcPr>
                <w:p w14:paraId="2E223809" w14:textId="4D8D0E71" w:rsidR="00585E4A" w:rsidRPr="000A7465" w:rsidRDefault="00585E4A" w:rsidP="000F122F">
                  <w:pPr>
                    <w:rPr>
                      <w:rFonts w:ascii="Times New Roman" w:hAnsi="Times New Roman" w:cs="Times New Roman"/>
                      <w:sz w:val="18"/>
                      <w:szCs w:val="18"/>
                    </w:rPr>
                  </w:pPr>
                  <w:r w:rsidRPr="000A7465">
                    <w:rPr>
                      <w:rFonts w:ascii="Times New Roman" w:hAnsi="Times New Roman" w:cs="Times New Roman"/>
                      <w:sz w:val="18"/>
                      <w:szCs w:val="18"/>
                    </w:rPr>
                    <w:t>LE injuries low adherence</w:t>
                  </w:r>
                </w:p>
              </w:tc>
              <w:tc>
                <w:tcPr>
                  <w:tcW w:w="630" w:type="dxa"/>
                </w:tcPr>
                <w:p w14:paraId="71CC7C1F" w14:textId="5895F035" w:rsidR="00585E4A" w:rsidRPr="000A7465" w:rsidRDefault="00585E4A" w:rsidP="000F122F">
                  <w:pPr>
                    <w:rPr>
                      <w:rFonts w:ascii="Times New Roman" w:hAnsi="Times New Roman" w:cs="Times New Roman"/>
                      <w:sz w:val="18"/>
                      <w:szCs w:val="18"/>
                    </w:rPr>
                  </w:pPr>
                  <w:r w:rsidRPr="000A7465">
                    <w:rPr>
                      <w:rFonts w:ascii="Times New Roman" w:hAnsi="Times New Roman" w:cs="Times New Roman"/>
                      <w:sz w:val="18"/>
                      <w:szCs w:val="18"/>
                    </w:rPr>
                    <w:t>0.32</w:t>
                  </w:r>
                </w:p>
              </w:tc>
              <w:tc>
                <w:tcPr>
                  <w:tcW w:w="1080" w:type="dxa"/>
                </w:tcPr>
                <w:p w14:paraId="4CC29CB5" w14:textId="59D1808F" w:rsidR="00585E4A" w:rsidRPr="000A7465" w:rsidRDefault="00585E4A" w:rsidP="000F122F">
                  <w:pPr>
                    <w:rPr>
                      <w:rFonts w:ascii="Times New Roman" w:hAnsi="Times New Roman" w:cs="Times New Roman"/>
                      <w:sz w:val="18"/>
                      <w:szCs w:val="18"/>
                    </w:rPr>
                  </w:pPr>
                  <w:r w:rsidRPr="000A7465">
                    <w:rPr>
                      <w:rFonts w:ascii="Times New Roman" w:hAnsi="Times New Roman" w:cs="Times New Roman"/>
                      <w:sz w:val="18"/>
                      <w:szCs w:val="18"/>
                    </w:rPr>
                    <w:t>0.11-0.95*</w:t>
                  </w:r>
                </w:p>
              </w:tc>
            </w:tr>
          </w:tbl>
          <w:p w14:paraId="46829EBF" w14:textId="77777777" w:rsidR="00585E4A" w:rsidRPr="000A7465" w:rsidRDefault="00585E4A" w:rsidP="000F122F">
            <w:pPr>
              <w:rPr>
                <w:rFonts w:ascii="Times New Roman" w:hAnsi="Times New Roman" w:cs="Times New Roman"/>
                <w:sz w:val="18"/>
                <w:szCs w:val="18"/>
              </w:rPr>
            </w:pPr>
          </w:p>
          <w:p w14:paraId="29B93B32" w14:textId="77777777" w:rsidR="00C609F5" w:rsidRPr="000A7465" w:rsidRDefault="00C609F5" w:rsidP="000F122F">
            <w:pPr>
              <w:rPr>
                <w:rFonts w:ascii="Times New Roman" w:hAnsi="Times New Roman" w:cs="Times New Roman"/>
                <w:sz w:val="18"/>
                <w:szCs w:val="18"/>
              </w:rPr>
            </w:pPr>
            <w:r w:rsidRPr="000A7465">
              <w:rPr>
                <w:rFonts w:ascii="Times New Roman" w:hAnsi="Times New Roman" w:cs="Times New Roman"/>
                <w:b/>
                <w:sz w:val="18"/>
                <w:szCs w:val="18"/>
              </w:rPr>
              <w:t>Adherence and Balance</w:t>
            </w:r>
            <w:r w:rsidRPr="000A7465">
              <w:rPr>
                <w:rFonts w:ascii="Times New Roman" w:hAnsi="Times New Roman" w:cs="Times New Roman"/>
                <w:sz w:val="18"/>
                <w:szCs w:val="18"/>
              </w:rPr>
              <w:t>:</w:t>
            </w:r>
          </w:p>
          <w:p w14:paraId="4220BD1D" w14:textId="478D7E23" w:rsidR="00C609F5" w:rsidRPr="000A7465" w:rsidRDefault="00C609F5" w:rsidP="000F122F">
            <w:pPr>
              <w:pStyle w:val="ListParagraph"/>
              <w:numPr>
                <w:ilvl w:val="0"/>
                <w:numId w:val="10"/>
              </w:numPr>
              <w:rPr>
                <w:rFonts w:ascii="Times New Roman" w:hAnsi="Times New Roman" w:cs="Times New Roman"/>
                <w:sz w:val="18"/>
                <w:szCs w:val="18"/>
              </w:rPr>
            </w:pPr>
            <w:r w:rsidRPr="000A7465">
              <w:rPr>
                <w:rFonts w:ascii="Times New Roman" w:hAnsi="Times New Roman" w:cs="Times New Roman"/>
                <w:sz w:val="18"/>
                <w:szCs w:val="18"/>
              </w:rPr>
              <w:t>Higher adherence was associated</w:t>
            </w:r>
            <w:r w:rsidR="00585E4A" w:rsidRPr="000A7465">
              <w:rPr>
                <w:rFonts w:ascii="Times New Roman" w:hAnsi="Times New Roman" w:cs="Times New Roman"/>
                <w:sz w:val="18"/>
                <w:szCs w:val="18"/>
              </w:rPr>
              <w:t xml:space="preserve"> with</w:t>
            </w:r>
            <w:r w:rsidRPr="000A7465">
              <w:rPr>
                <w:rFonts w:ascii="Times New Roman" w:hAnsi="Times New Roman" w:cs="Times New Roman"/>
                <w:sz w:val="18"/>
                <w:szCs w:val="18"/>
              </w:rPr>
              <w:t xml:space="preserve"> clinically relevant improvements in functional balance (as measured by the SEBT) </w:t>
            </w:r>
          </w:p>
          <w:p w14:paraId="57F5F9BF" w14:textId="77777777" w:rsidR="00C609F5" w:rsidRPr="000A7465" w:rsidRDefault="00C609F5" w:rsidP="00A82EC1">
            <w:pPr>
              <w:rPr>
                <w:rFonts w:ascii="Times New Roman" w:hAnsi="Times New Roman" w:cs="Times New Roman"/>
                <w:b/>
                <w:sz w:val="18"/>
                <w:szCs w:val="18"/>
              </w:rPr>
            </w:pPr>
          </w:p>
        </w:tc>
        <w:tc>
          <w:tcPr>
            <w:tcW w:w="3495" w:type="dxa"/>
          </w:tcPr>
          <w:p w14:paraId="5ADC00AD" w14:textId="4DB1E084" w:rsidR="00C609F5" w:rsidRPr="000A7465" w:rsidRDefault="00C609F5" w:rsidP="000F122F">
            <w:pPr>
              <w:rPr>
                <w:rFonts w:ascii="Times New Roman" w:hAnsi="Times New Roman" w:cs="Times New Roman"/>
                <w:sz w:val="18"/>
                <w:szCs w:val="18"/>
              </w:rPr>
            </w:pPr>
            <w:r w:rsidRPr="000A7465">
              <w:rPr>
                <w:rFonts w:ascii="Times New Roman" w:hAnsi="Times New Roman" w:cs="Times New Roman"/>
                <w:b/>
                <w:sz w:val="18"/>
                <w:szCs w:val="18"/>
              </w:rPr>
              <w:t>Author’s Conclusions</w:t>
            </w:r>
            <w:r w:rsidRPr="000A7465">
              <w:rPr>
                <w:rFonts w:ascii="Times New Roman" w:hAnsi="Times New Roman" w:cs="Times New Roman"/>
                <w:sz w:val="18"/>
                <w:szCs w:val="18"/>
              </w:rPr>
              <w:t xml:space="preserve">: “high player adherence to the </w:t>
            </w:r>
            <w:r w:rsidR="00D66EF6">
              <w:rPr>
                <w:rFonts w:ascii="Times New Roman" w:hAnsi="Times New Roman" w:cs="Times New Roman"/>
                <w:sz w:val="18"/>
                <w:szCs w:val="18"/>
              </w:rPr>
              <w:t>“</w:t>
            </w:r>
            <w:r w:rsidRPr="000A7465">
              <w:rPr>
                <w:rFonts w:ascii="Times New Roman" w:hAnsi="Times New Roman" w:cs="Times New Roman"/>
                <w:sz w:val="18"/>
                <w:szCs w:val="18"/>
              </w:rPr>
              <w:t>11+</w:t>
            </w:r>
            <w:r w:rsidR="00D66EF6">
              <w:rPr>
                <w:rFonts w:ascii="Times New Roman" w:hAnsi="Times New Roman" w:cs="Times New Roman"/>
                <w:sz w:val="18"/>
                <w:szCs w:val="18"/>
              </w:rPr>
              <w:t>”</w:t>
            </w:r>
            <w:r w:rsidRPr="000A7465">
              <w:rPr>
                <w:rFonts w:ascii="Times New Roman" w:hAnsi="Times New Roman" w:cs="Times New Roman"/>
                <w:sz w:val="18"/>
                <w:szCs w:val="18"/>
              </w:rPr>
              <w:t xml:space="preserve"> resulted in significant improvements in functional balance and reduced injury risk.”</w:t>
            </w:r>
          </w:p>
          <w:p w14:paraId="4512D72C" w14:textId="77777777" w:rsidR="00C609F5" w:rsidRPr="000A7465" w:rsidRDefault="00C609F5" w:rsidP="000F122F">
            <w:pPr>
              <w:rPr>
                <w:rFonts w:ascii="Times New Roman" w:hAnsi="Times New Roman" w:cs="Times New Roman"/>
                <w:sz w:val="18"/>
                <w:szCs w:val="18"/>
              </w:rPr>
            </w:pPr>
          </w:p>
          <w:p w14:paraId="2BBA4ED2" w14:textId="2475A970" w:rsidR="006F7B69" w:rsidRPr="000A7465" w:rsidRDefault="006F7B69" w:rsidP="006F7B69">
            <w:pPr>
              <w:rPr>
                <w:rFonts w:ascii="Times New Roman" w:hAnsi="Times New Roman" w:cs="Times New Roman"/>
                <w:b/>
                <w:sz w:val="18"/>
                <w:szCs w:val="18"/>
              </w:rPr>
            </w:pPr>
            <w:r w:rsidRPr="000A7465">
              <w:rPr>
                <w:rFonts w:ascii="Times New Roman" w:hAnsi="Times New Roman" w:cs="Times New Roman"/>
                <w:b/>
                <w:sz w:val="18"/>
                <w:szCs w:val="18"/>
              </w:rPr>
              <w:t>Limitations:</w:t>
            </w:r>
          </w:p>
          <w:p w14:paraId="256EA150" w14:textId="77777777" w:rsidR="006F7B69" w:rsidRPr="000A7465" w:rsidRDefault="006F7B69" w:rsidP="006F7B69">
            <w:pPr>
              <w:pStyle w:val="ListParagraph"/>
              <w:numPr>
                <w:ilvl w:val="0"/>
                <w:numId w:val="10"/>
              </w:numPr>
              <w:rPr>
                <w:rFonts w:ascii="Times New Roman" w:hAnsi="Times New Roman" w:cs="Times New Roman"/>
                <w:sz w:val="18"/>
                <w:szCs w:val="18"/>
              </w:rPr>
            </w:pPr>
            <w:r w:rsidRPr="000A7465">
              <w:rPr>
                <w:rFonts w:ascii="Times New Roman" w:hAnsi="Times New Roman" w:cs="Times New Roman"/>
                <w:sz w:val="18"/>
                <w:szCs w:val="18"/>
              </w:rPr>
              <w:t>Groups were not similar at baseline</w:t>
            </w:r>
          </w:p>
          <w:p w14:paraId="4E6E47BC" w14:textId="23DECCF1" w:rsidR="006F7B69" w:rsidRPr="000A7465" w:rsidRDefault="006F7B69" w:rsidP="006F7B69">
            <w:pPr>
              <w:pStyle w:val="ListParagraph"/>
              <w:numPr>
                <w:ilvl w:val="0"/>
                <w:numId w:val="10"/>
              </w:numPr>
              <w:rPr>
                <w:rFonts w:ascii="Times New Roman" w:hAnsi="Times New Roman" w:cs="Times New Roman"/>
                <w:sz w:val="18"/>
                <w:szCs w:val="18"/>
              </w:rPr>
            </w:pPr>
            <w:r w:rsidRPr="000A7465">
              <w:rPr>
                <w:rFonts w:ascii="Times New Roman" w:hAnsi="Times New Roman" w:cs="Times New Roman"/>
                <w:sz w:val="18"/>
                <w:szCs w:val="18"/>
              </w:rPr>
              <w:t xml:space="preserve">Participation length varied significantly for control (7 weeks) versus intervention group (10-11 weeks) </w:t>
            </w:r>
          </w:p>
          <w:p w14:paraId="77C2C9CA" w14:textId="77777777" w:rsidR="006F7B69" w:rsidRPr="000A7465" w:rsidRDefault="006F7B69" w:rsidP="006F7B69">
            <w:pPr>
              <w:pStyle w:val="ListParagraph"/>
              <w:numPr>
                <w:ilvl w:val="0"/>
                <w:numId w:val="10"/>
              </w:numPr>
              <w:rPr>
                <w:rFonts w:ascii="Times New Roman" w:hAnsi="Times New Roman" w:cs="Times New Roman"/>
                <w:sz w:val="18"/>
                <w:szCs w:val="18"/>
              </w:rPr>
            </w:pPr>
            <w:r w:rsidRPr="000A7465">
              <w:rPr>
                <w:rFonts w:ascii="Times New Roman" w:hAnsi="Times New Roman" w:cs="Times New Roman"/>
                <w:sz w:val="18"/>
                <w:szCs w:val="18"/>
              </w:rPr>
              <w:t xml:space="preserve">Weather restraints limiting participation  </w:t>
            </w:r>
          </w:p>
          <w:p w14:paraId="06C44A10" w14:textId="77777777" w:rsidR="006F7B69" w:rsidRPr="000A7465" w:rsidRDefault="006F7B69" w:rsidP="006F7B69">
            <w:pPr>
              <w:pStyle w:val="ListParagraph"/>
              <w:numPr>
                <w:ilvl w:val="0"/>
                <w:numId w:val="10"/>
              </w:numPr>
              <w:rPr>
                <w:rFonts w:ascii="Times New Roman" w:hAnsi="Times New Roman" w:cs="Times New Roman"/>
                <w:sz w:val="18"/>
                <w:szCs w:val="18"/>
              </w:rPr>
            </w:pPr>
            <w:r w:rsidRPr="000A7465">
              <w:rPr>
                <w:rFonts w:ascii="Times New Roman" w:hAnsi="Times New Roman" w:cs="Times New Roman"/>
                <w:sz w:val="18"/>
                <w:szCs w:val="18"/>
              </w:rPr>
              <w:t>Risk for selection bias</w:t>
            </w:r>
          </w:p>
          <w:p w14:paraId="335A0F12" w14:textId="77777777" w:rsidR="006F7B69" w:rsidRPr="000A7465" w:rsidRDefault="006F7B69" w:rsidP="006F7B69">
            <w:pPr>
              <w:pStyle w:val="ListParagraph"/>
              <w:numPr>
                <w:ilvl w:val="0"/>
                <w:numId w:val="10"/>
              </w:numPr>
              <w:rPr>
                <w:rFonts w:ascii="Times New Roman" w:hAnsi="Times New Roman" w:cs="Times New Roman"/>
                <w:sz w:val="18"/>
                <w:szCs w:val="18"/>
              </w:rPr>
            </w:pPr>
            <w:r w:rsidRPr="000A7465">
              <w:rPr>
                <w:rFonts w:ascii="Times New Roman" w:hAnsi="Times New Roman" w:cs="Times New Roman"/>
                <w:sz w:val="18"/>
                <w:szCs w:val="18"/>
              </w:rPr>
              <w:t>Lack of blinding of subjects</w:t>
            </w:r>
          </w:p>
          <w:p w14:paraId="2100F56A" w14:textId="136B4EA5" w:rsidR="006F7B69" w:rsidRPr="000A7465" w:rsidRDefault="006F7B69" w:rsidP="006F7B69">
            <w:pPr>
              <w:pStyle w:val="ListParagraph"/>
              <w:numPr>
                <w:ilvl w:val="0"/>
                <w:numId w:val="10"/>
              </w:numPr>
              <w:rPr>
                <w:rFonts w:ascii="Times New Roman" w:hAnsi="Times New Roman" w:cs="Times New Roman"/>
                <w:sz w:val="18"/>
                <w:szCs w:val="18"/>
              </w:rPr>
            </w:pPr>
            <w:r w:rsidRPr="000A7465">
              <w:rPr>
                <w:rFonts w:ascii="Times New Roman" w:hAnsi="Times New Roman" w:cs="Times New Roman"/>
                <w:sz w:val="18"/>
                <w:szCs w:val="18"/>
              </w:rPr>
              <w:t>Sma</w:t>
            </w:r>
            <w:r w:rsidR="00DE2D3C" w:rsidRPr="000A7465">
              <w:rPr>
                <w:rFonts w:ascii="Times New Roman" w:hAnsi="Times New Roman" w:cs="Times New Roman"/>
                <w:sz w:val="18"/>
                <w:szCs w:val="18"/>
              </w:rPr>
              <w:t>ll study with few teams, may have been underpowered</w:t>
            </w:r>
          </w:p>
          <w:p w14:paraId="3CD3AF1C" w14:textId="77777777" w:rsidR="006F7B69" w:rsidRPr="000A7465" w:rsidRDefault="006F7B69" w:rsidP="006F7B69">
            <w:pPr>
              <w:pStyle w:val="ListParagraph"/>
              <w:numPr>
                <w:ilvl w:val="0"/>
                <w:numId w:val="10"/>
              </w:numPr>
              <w:rPr>
                <w:rFonts w:ascii="Times New Roman" w:hAnsi="Times New Roman" w:cs="Times New Roman"/>
                <w:sz w:val="18"/>
                <w:szCs w:val="18"/>
              </w:rPr>
            </w:pPr>
            <w:r w:rsidRPr="000A7465">
              <w:rPr>
                <w:rFonts w:ascii="Times New Roman" w:hAnsi="Times New Roman" w:cs="Times New Roman"/>
                <w:sz w:val="18"/>
                <w:szCs w:val="18"/>
              </w:rPr>
              <w:t>Short study length, may require longer administration (&gt; 7-10 weeks)</w:t>
            </w:r>
          </w:p>
          <w:p w14:paraId="735FDECD" w14:textId="77777777" w:rsidR="006F7B69" w:rsidRPr="000A7465" w:rsidRDefault="006F7B69" w:rsidP="006F7B69">
            <w:pPr>
              <w:pStyle w:val="ListParagraph"/>
              <w:numPr>
                <w:ilvl w:val="0"/>
                <w:numId w:val="10"/>
              </w:numPr>
              <w:rPr>
                <w:rFonts w:ascii="Times New Roman" w:hAnsi="Times New Roman" w:cs="Times New Roman"/>
                <w:sz w:val="18"/>
                <w:szCs w:val="18"/>
              </w:rPr>
            </w:pPr>
            <w:r w:rsidRPr="000A7465">
              <w:rPr>
                <w:rFonts w:ascii="Times New Roman" w:hAnsi="Times New Roman" w:cs="Times New Roman"/>
                <w:sz w:val="18"/>
                <w:szCs w:val="18"/>
              </w:rPr>
              <w:t xml:space="preserve">34% of players were lost to follow up and did not complete postseason testing </w:t>
            </w:r>
          </w:p>
          <w:p w14:paraId="1FF1A994" w14:textId="77777777" w:rsidR="006F7B69" w:rsidRPr="000A7465" w:rsidRDefault="006F7B69" w:rsidP="006F7B69">
            <w:pPr>
              <w:rPr>
                <w:rFonts w:ascii="Times New Roman" w:hAnsi="Times New Roman" w:cs="Times New Roman"/>
                <w:b/>
                <w:sz w:val="18"/>
                <w:szCs w:val="18"/>
              </w:rPr>
            </w:pPr>
            <w:r w:rsidRPr="000A7465">
              <w:rPr>
                <w:rFonts w:ascii="Times New Roman" w:hAnsi="Times New Roman" w:cs="Times New Roman"/>
                <w:b/>
                <w:sz w:val="18"/>
                <w:szCs w:val="18"/>
              </w:rPr>
              <w:t>Strengths:</w:t>
            </w:r>
          </w:p>
          <w:p w14:paraId="15035588" w14:textId="77777777" w:rsidR="006F7B69" w:rsidRPr="000A7465" w:rsidRDefault="006F7B69" w:rsidP="006F7B69">
            <w:pPr>
              <w:pStyle w:val="ListParagraph"/>
              <w:numPr>
                <w:ilvl w:val="0"/>
                <w:numId w:val="10"/>
              </w:numPr>
              <w:rPr>
                <w:rFonts w:ascii="Times New Roman" w:hAnsi="Times New Roman" w:cs="Times New Roman"/>
                <w:sz w:val="18"/>
                <w:szCs w:val="18"/>
              </w:rPr>
            </w:pPr>
            <w:r w:rsidRPr="000A7465">
              <w:rPr>
                <w:rFonts w:ascii="Times New Roman" w:hAnsi="Times New Roman" w:cs="Times New Roman"/>
                <w:sz w:val="18"/>
                <w:szCs w:val="18"/>
              </w:rPr>
              <w:t>Preliminary data suggests relationship between dosage and effectiveness of injury prevention program, independent of delivery method</w:t>
            </w:r>
          </w:p>
          <w:p w14:paraId="3BF4EFD0" w14:textId="77777777" w:rsidR="006F7B69" w:rsidRPr="000A7465" w:rsidRDefault="006F7B69" w:rsidP="006F7B69">
            <w:pPr>
              <w:pStyle w:val="ListParagraph"/>
              <w:numPr>
                <w:ilvl w:val="0"/>
                <w:numId w:val="10"/>
              </w:numPr>
              <w:rPr>
                <w:rFonts w:ascii="Times New Roman" w:hAnsi="Times New Roman" w:cs="Times New Roman"/>
                <w:sz w:val="18"/>
                <w:szCs w:val="18"/>
              </w:rPr>
            </w:pPr>
            <w:r w:rsidRPr="000A7465">
              <w:rPr>
                <w:rFonts w:ascii="Times New Roman" w:hAnsi="Times New Roman" w:cs="Times New Roman"/>
                <w:sz w:val="18"/>
                <w:szCs w:val="18"/>
              </w:rPr>
              <w:t>Implementation in real world setting</w:t>
            </w:r>
          </w:p>
          <w:p w14:paraId="3EA0DB40" w14:textId="77777777" w:rsidR="006F7B69" w:rsidRPr="000A7465" w:rsidRDefault="006F7B69" w:rsidP="006F7B69">
            <w:pPr>
              <w:pStyle w:val="ListParagraph"/>
              <w:numPr>
                <w:ilvl w:val="0"/>
                <w:numId w:val="10"/>
              </w:numPr>
              <w:rPr>
                <w:rFonts w:ascii="Times New Roman" w:hAnsi="Times New Roman" w:cs="Times New Roman"/>
                <w:sz w:val="18"/>
                <w:szCs w:val="18"/>
              </w:rPr>
            </w:pPr>
            <w:r w:rsidRPr="000A7465">
              <w:rPr>
                <w:rFonts w:ascii="Times New Roman" w:hAnsi="Times New Roman" w:cs="Times New Roman"/>
                <w:sz w:val="18"/>
                <w:szCs w:val="18"/>
              </w:rPr>
              <w:t xml:space="preserve">Comparison of various delivery methods </w:t>
            </w:r>
          </w:p>
          <w:p w14:paraId="127B0B27" w14:textId="50B2F26B" w:rsidR="00C609F5" w:rsidRPr="000A7465" w:rsidRDefault="006F7B69" w:rsidP="00A82EC1">
            <w:pPr>
              <w:pStyle w:val="ListParagraph"/>
              <w:numPr>
                <w:ilvl w:val="0"/>
                <w:numId w:val="10"/>
              </w:numPr>
              <w:rPr>
                <w:rFonts w:ascii="Times New Roman" w:hAnsi="Times New Roman" w:cs="Times New Roman"/>
                <w:sz w:val="18"/>
                <w:szCs w:val="18"/>
              </w:rPr>
            </w:pPr>
            <w:r w:rsidRPr="000A7465">
              <w:rPr>
                <w:rFonts w:ascii="Times New Roman" w:hAnsi="Times New Roman" w:cs="Times New Roman"/>
                <w:sz w:val="18"/>
                <w:szCs w:val="18"/>
              </w:rPr>
              <w:t>Randomization</w:t>
            </w:r>
          </w:p>
        </w:tc>
      </w:tr>
      <w:tr w:rsidR="00DE2D3C" w:rsidRPr="000A7465" w14:paraId="2AACFFB3" w14:textId="77777777" w:rsidTr="00B62AF5">
        <w:trPr>
          <w:gridBefore w:val="1"/>
          <w:gridAfter w:val="1"/>
          <w:wBefore w:w="365" w:type="dxa"/>
          <w:wAfter w:w="450" w:type="dxa"/>
          <w:trHeight w:val="2402"/>
        </w:trPr>
        <w:tc>
          <w:tcPr>
            <w:tcW w:w="1936" w:type="dxa"/>
          </w:tcPr>
          <w:p w14:paraId="2A66ED33" w14:textId="0A269CCC" w:rsidR="00DE2D3C" w:rsidRPr="000A7465" w:rsidRDefault="00DE2D3C" w:rsidP="000F122F">
            <w:pPr>
              <w:rPr>
                <w:rFonts w:ascii="Times New Roman" w:hAnsi="Times New Roman" w:cs="Times New Roman"/>
                <w:sz w:val="18"/>
                <w:szCs w:val="18"/>
              </w:rPr>
            </w:pPr>
            <w:r w:rsidRPr="000A7465">
              <w:rPr>
                <w:rFonts w:ascii="Times New Roman" w:hAnsi="Times New Roman" w:cs="Times New Roman"/>
                <w:b/>
                <w:sz w:val="18"/>
                <w:szCs w:val="18"/>
              </w:rPr>
              <w:t>Author/Year</w:t>
            </w:r>
            <w:r w:rsidRPr="000A7465">
              <w:rPr>
                <w:rFonts w:ascii="Times New Roman" w:hAnsi="Times New Roman" w:cs="Times New Roman"/>
                <w:sz w:val="18"/>
                <w:szCs w:val="18"/>
              </w:rPr>
              <w:t>: Silvers-</w:t>
            </w:r>
            <w:proofErr w:type="spellStart"/>
            <w:r w:rsidRPr="000A7465">
              <w:rPr>
                <w:rFonts w:ascii="Times New Roman" w:hAnsi="Times New Roman" w:cs="Times New Roman"/>
                <w:sz w:val="18"/>
                <w:szCs w:val="18"/>
              </w:rPr>
              <w:t>Granelli</w:t>
            </w:r>
            <w:proofErr w:type="spellEnd"/>
            <w:r w:rsidRPr="000A7465">
              <w:rPr>
                <w:rFonts w:ascii="Times New Roman" w:hAnsi="Times New Roman" w:cs="Times New Roman"/>
                <w:sz w:val="18"/>
                <w:szCs w:val="18"/>
              </w:rPr>
              <w:t xml:space="preserve"> (2017)</w:t>
            </w:r>
            <w:r w:rsidR="0014011D" w:rsidRPr="000A7465">
              <w:rPr>
                <w:rFonts w:ascii="Times New Roman" w:hAnsi="Times New Roman" w:cs="Times New Roman"/>
                <w:sz w:val="18"/>
                <w:szCs w:val="18"/>
              </w:rPr>
              <w:fldChar w:fldCharType="begin"/>
            </w:r>
            <w:r w:rsidR="009D18FB" w:rsidRPr="000A7465">
              <w:rPr>
                <w:rFonts w:ascii="Times New Roman" w:hAnsi="Times New Roman" w:cs="Times New Roman"/>
                <w:sz w:val="18"/>
                <w:szCs w:val="18"/>
              </w:rPr>
              <w:instrText>ADDIN F1000_CSL_CITATION&lt;~#@#~&gt;[{"DOI":"10.1007/s00167-018-4895-5","First":false,"Last":false,"PMID":"29556709","abstract":"&lt;strong&gt;PURPOSE:&lt;/strong&gt; The 11+ injury prevention program has been shown to decrease injury rate. However, few studies have investigated compliance and if it is correlated to time loss. The purpose of this study was to (1) analyze how differences in compliance may impact injury rate and (2) if compliance may impact time loss due to injury.&lt;br&gt;&lt;br&gt;&lt;strong&gt;METHODS:&lt;/strong&gt; This study was a Level 1 prospective cluster randomized controlled trial conducted in NCAA men's football (soccer) teams that examined the efficacy of the 11+ injury prevention program. The two outcome variables examined were number of injuries and number of days missed from competition. Twenty-seven teams (n = 675 players) used the 11+ program. Compliance, injuries and time loss were recorded. There were three compliance categories, low (LC, 1-19 doses/season), moderate (MC, 20-39 doses/season), and high (HC, &gt; 40 doses/season).&lt;br&gt;&lt;br&gt;&lt;strong&gt;RESULTS:&lt;/strong&gt; There was a significant difference among the groups for injuries, p = 0.04, pη2 = 0.23. The LC group [mean (M) = 13.25, 95% confidence interval (CI) 9.82-16.68, injury rate (IR) = 10.35 ± 2.21] had a significantly higher injury rate than the HC group (M = 8.33, 95%CI 6.05-10.62, IR = 10.35 ± 2.21), p = 0.02. The MC group (M = 11.21, 95%CI 9.38-13.05, IR = 8.55 ± 2.46) was not significantly different than the LC group, p = 0.29, but was significantly greater than the HC group, p = 0.05. When examined as a continuous variable, compliance was significantly negatively related to injury rate (p = 0.004). It was also significantly negatively related to number of days missed (p = 0.012).&lt;br&gt;&lt;br&gt;&lt;strong&gt;CONCLUSIONS:&lt;/strong&gt; When compliance was high, there was a significant reduction in injury and time loss. This evidence reinforces the importance of consistent injury prevention program utilization. Clinically, these findings have important implications when discussing the importance of consistent utilization of an injury prevention protocol in sport.&lt;br&gt;&lt;br&gt;&lt;strong&gt;LEVEL OF EVIDENCE:&lt;/strong&gt; Level 1-Randomized controlled trial (RCT).","author":[{"family":"Silvers-Granelli","given":"Holly J"},{"family":"Bizzini","given":"Mario"},{"family":"Arundale","given":"Amelia"},{"family":"Mandelbaum","given":"Bert R"},{"family":"Snyder-Mackler","given":"Lynn"}],"citation-label":"6284857","container-title":"Knee Surgery, Sports Traumatology, Arthroscopy","container-title-short":"Knee Surg. Sports Traumatol. Arthrosc.","id":"6284857","invisible":false,"issue":"7","issued":{"date-parts":[["2018","7"]]},"journalAbbreviation":"Knee Surg. Sports Traumatol. Arthrosc.","page":"1975-1983","suppress-author":false,"title":"Higher compliance to a neuromuscular injury prevention program improves overall injury rate in male football players.","type":"article-journal","volume":"26"}]</w:instrText>
            </w:r>
            <w:r w:rsidR="0014011D" w:rsidRPr="000A7465">
              <w:rPr>
                <w:rFonts w:ascii="Times New Roman" w:hAnsi="Times New Roman" w:cs="Times New Roman"/>
                <w:sz w:val="18"/>
                <w:szCs w:val="18"/>
              </w:rPr>
              <w:fldChar w:fldCharType="separate"/>
            </w:r>
            <w:r w:rsidR="00502F90" w:rsidRPr="000A7465">
              <w:rPr>
                <w:rFonts w:ascii="Times New Roman" w:hAnsi="Times New Roman" w:cs="Times New Roman"/>
                <w:sz w:val="18"/>
                <w:szCs w:val="18"/>
                <w:vertAlign w:val="superscript"/>
              </w:rPr>
              <w:t>7</w:t>
            </w:r>
            <w:r w:rsidR="0014011D" w:rsidRPr="000A7465">
              <w:rPr>
                <w:rFonts w:ascii="Times New Roman" w:hAnsi="Times New Roman" w:cs="Times New Roman"/>
                <w:sz w:val="18"/>
                <w:szCs w:val="18"/>
              </w:rPr>
              <w:fldChar w:fldCharType="end"/>
            </w:r>
            <w:r w:rsidRPr="000A7465">
              <w:rPr>
                <w:rFonts w:ascii="Times New Roman" w:hAnsi="Times New Roman" w:cs="Times New Roman"/>
                <w:sz w:val="18"/>
                <w:szCs w:val="18"/>
              </w:rPr>
              <w:t xml:space="preserve"> </w:t>
            </w:r>
          </w:p>
          <w:p w14:paraId="49A6792C" w14:textId="77777777" w:rsidR="00DE2D3C" w:rsidRPr="000A7465" w:rsidRDefault="00DE2D3C" w:rsidP="000F122F">
            <w:pPr>
              <w:rPr>
                <w:rFonts w:ascii="Times New Roman" w:hAnsi="Times New Roman" w:cs="Times New Roman"/>
                <w:sz w:val="18"/>
                <w:szCs w:val="18"/>
              </w:rPr>
            </w:pPr>
          </w:p>
          <w:p w14:paraId="128356F1" w14:textId="77777777" w:rsidR="00DE2D3C" w:rsidRPr="000A7465" w:rsidRDefault="00DE2D3C" w:rsidP="000F122F">
            <w:pPr>
              <w:rPr>
                <w:rFonts w:ascii="Times New Roman" w:hAnsi="Times New Roman" w:cs="Times New Roman"/>
                <w:sz w:val="18"/>
                <w:szCs w:val="18"/>
              </w:rPr>
            </w:pPr>
            <w:r w:rsidRPr="000A7465">
              <w:rPr>
                <w:rFonts w:ascii="Times New Roman" w:hAnsi="Times New Roman" w:cs="Times New Roman"/>
                <w:b/>
                <w:sz w:val="18"/>
                <w:szCs w:val="18"/>
              </w:rPr>
              <w:t>Study Design</w:t>
            </w:r>
            <w:r w:rsidRPr="000A7465">
              <w:rPr>
                <w:rFonts w:ascii="Times New Roman" w:hAnsi="Times New Roman" w:cs="Times New Roman"/>
                <w:sz w:val="18"/>
                <w:szCs w:val="18"/>
              </w:rPr>
              <w:t>: cluster randomized controlled trial</w:t>
            </w:r>
          </w:p>
          <w:p w14:paraId="53AB19BE" w14:textId="77777777" w:rsidR="00DE2D3C" w:rsidRPr="000A7465" w:rsidRDefault="00DE2D3C" w:rsidP="000F122F">
            <w:pPr>
              <w:rPr>
                <w:rFonts w:ascii="Times New Roman" w:hAnsi="Times New Roman" w:cs="Times New Roman"/>
                <w:sz w:val="18"/>
                <w:szCs w:val="18"/>
              </w:rPr>
            </w:pPr>
          </w:p>
          <w:p w14:paraId="66075EB8" w14:textId="77777777" w:rsidR="00DE2D3C" w:rsidRPr="000A7465" w:rsidRDefault="00DE2D3C" w:rsidP="000F122F">
            <w:pPr>
              <w:rPr>
                <w:rFonts w:ascii="Times New Roman" w:hAnsi="Times New Roman" w:cs="Times New Roman"/>
                <w:sz w:val="18"/>
                <w:szCs w:val="18"/>
              </w:rPr>
            </w:pPr>
            <w:r w:rsidRPr="000A7465">
              <w:rPr>
                <w:rFonts w:ascii="Times New Roman" w:hAnsi="Times New Roman" w:cs="Times New Roman"/>
                <w:b/>
                <w:sz w:val="18"/>
                <w:szCs w:val="18"/>
              </w:rPr>
              <w:t>Level of evidence</w:t>
            </w:r>
            <w:r w:rsidRPr="000A7465">
              <w:rPr>
                <w:rFonts w:ascii="Times New Roman" w:hAnsi="Times New Roman" w:cs="Times New Roman"/>
                <w:sz w:val="18"/>
                <w:szCs w:val="18"/>
              </w:rPr>
              <w:t>: 1b</w:t>
            </w:r>
          </w:p>
          <w:p w14:paraId="43C9AABC" w14:textId="77777777" w:rsidR="00DE2D3C" w:rsidRPr="000A7465" w:rsidRDefault="00DE2D3C" w:rsidP="000F122F">
            <w:pPr>
              <w:rPr>
                <w:rFonts w:ascii="Times New Roman" w:hAnsi="Times New Roman" w:cs="Times New Roman"/>
                <w:sz w:val="18"/>
                <w:szCs w:val="18"/>
              </w:rPr>
            </w:pPr>
          </w:p>
          <w:p w14:paraId="2AA7CBBC" w14:textId="77777777" w:rsidR="00DE2D3C" w:rsidRPr="000A7465" w:rsidRDefault="00DE2D3C" w:rsidP="000F122F">
            <w:pPr>
              <w:rPr>
                <w:rFonts w:ascii="Times New Roman" w:hAnsi="Times New Roman" w:cs="Times New Roman"/>
                <w:sz w:val="18"/>
                <w:szCs w:val="18"/>
              </w:rPr>
            </w:pPr>
            <w:r w:rsidRPr="000A7465">
              <w:rPr>
                <w:rFonts w:ascii="Times New Roman" w:hAnsi="Times New Roman" w:cs="Times New Roman"/>
                <w:b/>
                <w:sz w:val="18"/>
                <w:szCs w:val="18"/>
              </w:rPr>
              <w:t>Risk of bias</w:t>
            </w:r>
            <w:r w:rsidRPr="000A7465">
              <w:rPr>
                <w:rFonts w:ascii="Times New Roman" w:hAnsi="Times New Roman" w:cs="Times New Roman"/>
                <w:sz w:val="18"/>
                <w:szCs w:val="18"/>
              </w:rPr>
              <w:t>: 6/10 (</w:t>
            </w:r>
            <w:proofErr w:type="spellStart"/>
            <w:r w:rsidRPr="000A7465">
              <w:rPr>
                <w:rFonts w:ascii="Times New Roman" w:hAnsi="Times New Roman" w:cs="Times New Roman"/>
                <w:sz w:val="18"/>
                <w:szCs w:val="18"/>
              </w:rPr>
              <w:t>PEDro</w:t>
            </w:r>
            <w:proofErr w:type="spellEnd"/>
            <w:r w:rsidRPr="000A7465">
              <w:rPr>
                <w:rFonts w:ascii="Times New Roman" w:hAnsi="Times New Roman" w:cs="Times New Roman"/>
                <w:sz w:val="18"/>
                <w:szCs w:val="18"/>
              </w:rPr>
              <w:t>)</w:t>
            </w:r>
          </w:p>
          <w:p w14:paraId="023FB22F" w14:textId="77777777" w:rsidR="00DE2D3C" w:rsidRPr="000A7465" w:rsidRDefault="00DE2D3C" w:rsidP="000F122F">
            <w:pPr>
              <w:rPr>
                <w:rFonts w:ascii="Times New Roman" w:hAnsi="Times New Roman" w:cs="Times New Roman"/>
                <w:sz w:val="18"/>
                <w:szCs w:val="18"/>
              </w:rPr>
            </w:pPr>
          </w:p>
          <w:p w14:paraId="693EBF3F" w14:textId="0C8C8A1B" w:rsidR="00DE2D3C" w:rsidRPr="000A7465" w:rsidRDefault="00DE2D3C" w:rsidP="006F7B69">
            <w:pPr>
              <w:rPr>
                <w:rFonts w:ascii="Times New Roman" w:hAnsi="Times New Roman" w:cs="Times New Roman"/>
                <w:b/>
                <w:sz w:val="18"/>
                <w:szCs w:val="18"/>
              </w:rPr>
            </w:pPr>
            <w:r w:rsidRPr="000A7465">
              <w:rPr>
                <w:rFonts w:ascii="Times New Roman" w:hAnsi="Times New Roman" w:cs="Times New Roman"/>
                <w:b/>
                <w:sz w:val="18"/>
                <w:szCs w:val="18"/>
              </w:rPr>
              <w:t>Aim</w:t>
            </w:r>
            <w:r w:rsidRPr="000A7465">
              <w:rPr>
                <w:rFonts w:ascii="Times New Roman" w:hAnsi="Times New Roman" w:cs="Times New Roman"/>
                <w:sz w:val="18"/>
                <w:szCs w:val="18"/>
              </w:rPr>
              <w:t xml:space="preserve">: </w:t>
            </w:r>
            <w:r w:rsidR="0014011D" w:rsidRPr="000A7465">
              <w:rPr>
                <w:rFonts w:ascii="Times New Roman" w:hAnsi="Times New Roman" w:cs="Times New Roman"/>
                <w:sz w:val="18"/>
                <w:szCs w:val="18"/>
              </w:rPr>
              <w:t xml:space="preserve">to </w:t>
            </w:r>
            <w:r w:rsidRPr="000A7465">
              <w:rPr>
                <w:rFonts w:ascii="Times New Roman" w:hAnsi="Times New Roman" w:cs="Times New Roman"/>
                <w:sz w:val="18"/>
                <w:szCs w:val="18"/>
              </w:rPr>
              <w:t xml:space="preserve">determine how compliance in </w:t>
            </w:r>
            <w:r w:rsidR="00E42956">
              <w:rPr>
                <w:rFonts w:ascii="Times New Roman" w:hAnsi="Times New Roman" w:cs="Times New Roman"/>
                <w:sz w:val="18"/>
                <w:szCs w:val="18"/>
              </w:rPr>
              <w:t>“</w:t>
            </w:r>
            <w:r w:rsidRPr="000A7465">
              <w:rPr>
                <w:rFonts w:ascii="Times New Roman" w:hAnsi="Times New Roman" w:cs="Times New Roman"/>
                <w:sz w:val="18"/>
                <w:szCs w:val="18"/>
              </w:rPr>
              <w:t>11+</w:t>
            </w:r>
            <w:r w:rsidR="0014011D" w:rsidRPr="000A7465">
              <w:rPr>
                <w:rFonts w:ascii="Times New Roman" w:hAnsi="Times New Roman" w:cs="Times New Roman"/>
                <w:sz w:val="18"/>
                <w:szCs w:val="18"/>
              </w:rPr>
              <w:t>”</w:t>
            </w:r>
            <w:r w:rsidRPr="000A7465">
              <w:rPr>
                <w:rFonts w:ascii="Times New Roman" w:hAnsi="Times New Roman" w:cs="Times New Roman"/>
                <w:sz w:val="18"/>
                <w:szCs w:val="18"/>
              </w:rPr>
              <w:t xml:space="preserve"> IPP impacts injury rate and time lost due to injury</w:t>
            </w:r>
          </w:p>
        </w:tc>
        <w:tc>
          <w:tcPr>
            <w:tcW w:w="4380" w:type="dxa"/>
          </w:tcPr>
          <w:p w14:paraId="76F78604" w14:textId="3C3B40BB" w:rsidR="00DE2D3C" w:rsidRPr="000A7465" w:rsidRDefault="00DE2D3C" w:rsidP="000F122F">
            <w:pPr>
              <w:rPr>
                <w:rFonts w:ascii="Times New Roman" w:hAnsi="Times New Roman" w:cs="Times New Roman"/>
                <w:b/>
                <w:i/>
                <w:sz w:val="18"/>
                <w:szCs w:val="18"/>
              </w:rPr>
            </w:pPr>
            <w:r w:rsidRPr="000A7465">
              <w:rPr>
                <w:rFonts w:ascii="Times New Roman" w:hAnsi="Times New Roman" w:cs="Times New Roman"/>
                <w:b/>
                <w:i/>
                <w:sz w:val="18"/>
                <w:szCs w:val="18"/>
              </w:rPr>
              <w:t>~Same sample and design as Silvers-</w:t>
            </w:r>
            <w:proofErr w:type="spellStart"/>
            <w:r w:rsidRPr="000A7465">
              <w:rPr>
                <w:rFonts w:ascii="Times New Roman" w:hAnsi="Times New Roman" w:cs="Times New Roman"/>
                <w:b/>
                <w:i/>
                <w:sz w:val="18"/>
                <w:szCs w:val="18"/>
              </w:rPr>
              <w:t>Granelli</w:t>
            </w:r>
            <w:proofErr w:type="spellEnd"/>
            <w:r w:rsidRPr="000A7465">
              <w:rPr>
                <w:rFonts w:ascii="Times New Roman" w:hAnsi="Times New Roman" w:cs="Times New Roman"/>
                <w:b/>
                <w:i/>
                <w:sz w:val="18"/>
                <w:szCs w:val="18"/>
              </w:rPr>
              <w:t xml:space="preserve"> 2015 (see above)</w:t>
            </w:r>
            <w:r w:rsidR="0014011D" w:rsidRPr="000A7465">
              <w:rPr>
                <w:rFonts w:ascii="Times New Roman" w:hAnsi="Times New Roman" w:cs="Times New Roman"/>
                <w:b/>
                <w:i/>
                <w:sz w:val="18"/>
                <w:szCs w:val="18"/>
              </w:rPr>
              <w:fldChar w:fldCharType="begin"/>
            </w:r>
            <w:r w:rsidR="009D18FB" w:rsidRPr="000A7465">
              <w:rPr>
                <w:rFonts w:ascii="Times New Roman" w:hAnsi="Times New Roman" w:cs="Times New Roman"/>
                <w:b/>
                <w:i/>
                <w:sz w:val="18"/>
                <w:szCs w:val="18"/>
              </w:rPr>
              <w:instrText>ADDIN F1000_CSL_CITATION&lt;~#@#~&gt;[{"DOI":"10.1177/0363546515602009","First":false,"Last":false,"PMCID":"PMC4839291","PMID":"26378030","abstract":"&lt;strong&gt;BACKGROUND:&lt;/strong&gt; The Fédération Internationale de Football Association (FIFA) 11+ program has been shown to be an effective injury prevention program in the female soccer cohort, but there is a paucity of research to demonstrate its efficacy in the male population.&lt;br&gt;&lt;br&gt;&lt;strong&gt;HYPOTHESIS:&lt;/strong&gt; To examine the efficacy of the FIFA 11+ program in men's collegiate United States National Collegiate Athletic Association (NCAA) Division I and Division II soccer.&lt;br&gt;&lt;br&gt;&lt;strong&gt;STUDY DESIGN:&lt;/strong&gt; Randomized controlled trial; Level of evidence, 1.&lt;br&gt;&lt;br&gt;&lt;strong&gt;METHODS:&lt;/strong&gt; Before the commencement of the fall 2012 season, every NCAA Division I and Division II men's collegiate soccer team (N = 396) was solicited to participate in this research study. Human ethics review board approval was obtained through Quorum Review IRB. Sixty-five teams were randomized: 34 to the control group (CG; 850 players) and 31 to the intervention group (IG; 675 players). Four teams in the IG did not complete the study, reducing the number for analysis to 61. The FIFA 11+ injury prevention program served as the intervention and was utilized weekly. Athlete-exposures (AEs), compliance, and injury data were recorded using a secure Internet-based system.&lt;br&gt;&lt;br&gt;&lt;strong&gt;RESULTS:&lt;/strong&gt; In the CG, 665 injuries (mean ± SD, 19.56 ± 11.01) were reported for 34 teams, which corresponded to an incidence rate (IR) of 15.04 injuries per 1000 AEs. In the IG, 285 injuries (mean ± SD, 10.56 ± 3.64) were reported for 27 teams, which corresponded to an IR of 8.09 injuries per 1000 AEs. Total days missed because of injury were significantly higher for the CG (mean ± SD, 13.20 ± 26.6 days) than for the IG (mean ± SD, 10.08 ± 14.68 days) (P = .007). There was no difference for time loss due to injury based on field type (P = .341).&lt;br&gt;&lt;br&gt;&lt;strong&gt;CONCLUSION:&lt;/strong&gt; The FIFA 11+ significantly reduced injury rates by 46.1% and decreased time loss to injury by 28.6% in the competitive male collegiate soccer player (rate ratio, 0.54 [95% CI, 0.49-0.59]; P &lt;  .0001) (number needed to treat = 2.64).&lt;br&gt;&lt;br&gt;© 2015 The Author(s).","author":[{"family":"Silvers-Granelli","given":"Holly"},{"family":"Mandelbaum","given":"Bert"},{"family":"Adeniji","given":"Ola"},{"family":"Insler","given":"Stephanie"},{"family":"Bizzini","given":"Mario"},{"family":"Pohlig","given":"Ryan"},{"family":"Junge","given":"Astrid"},{"family":"Snyder-Mackler","given":"Lynn"},{"family":"Dvorak","given":"Jiri"}],"citation-label":"5824178","container-title":"The American Journal of Sports Medicine","container-title-short":"Am. J. Sports Med.","id":"5824178","invisible":false,"issue":"11","issued":{"date-parts":[["2015","11"]]},"journalAbbreviation":"Am. J. Sports Med.","page":"2628-2637","suppress-author":false,"title":"Efficacy of the FIFA 11+ injury prevention program in the collegiate male soccer player.","type":"article-journal","volume":"43"}]</w:instrText>
            </w:r>
            <w:r w:rsidR="0014011D" w:rsidRPr="000A7465">
              <w:rPr>
                <w:rFonts w:ascii="Times New Roman" w:hAnsi="Times New Roman" w:cs="Times New Roman"/>
                <w:b/>
                <w:i/>
                <w:sz w:val="18"/>
                <w:szCs w:val="18"/>
              </w:rPr>
              <w:fldChar w:fldCharType="separate"/>
            </w:r>
            <w:r w:rsidR="00502F90" w:rsidRPr="000A7465">
              <w:rPr>
                <w:rFonts w:ascii="Times New Roman" w:hAnsi="Times New Roman" w:cs="Times New Roman"/>
                <w:sz w:val="18"/>
                <w:szCs w:val="18"/>
                <w:vertAlign w:val="superscript"/>
              </w:rPr>
              <w:t>5</w:t>
            </w:r>
            <w:r w:rsidR="0014011D" w:rsidRPr="000A7465">
              <w:rPr>
                <w:rFonts w:ascii="Times New Roman" w:hAnsi="Times New Roman" w:cs="Times New Roman"/>
                <w:b/>
                <w:i/>
                <w:sz w:val="18"/>
                <w:szCs w:val="18"/>
              </w:rPr>
              <w:fldChar w:fldCharType="end"/>
            </w:r>
          </w:p>
          <w:p w14:paraId="10DD40FD" w14:textId="77777777" w:rsidR="00DE2D3C" w:rsidRPr="000A7465" w:rsidRDefault="00DE2D3C" w:rsidP="000F122F">
            <w:pPr>
              <w:rPr>
                <w:rFonts w:ascii="Times New Roman" w:hAnsi="Times New Roman" w:cs="Times New Roman"/>
                <w:sz w:val="18"/>
                <w:szCs w:val="18"/>
              </w:rPr>
            </w:pPr>
          </w:p>
          <w:p w14:paraId="1312F55E" w14:textId="77777777" w:rsidR="00DE2D3C" w:rsidRPr="000A7465" w:rsidRDefault="00DE2D3C" w:rsidP="000F122F">
            <w:pPr>
              <w:rPr>
                <w:rFonts w:ascii="Times New Roman" w:hAnsi="Times New Roman" w:cs="Times New Roman"/>
                <w:b/>
                <w:sz w:val="18"/>
                <w:szCs w:val="18"/>
              </w:rPr>
            </w:pPr>
            <w:r w:rsidRPr="000A7465">
              <w:rPr>
                <w:rFonts w:ascii="Times New Roman" w:hAnsi="Times New Roman" w:cs="Times New Roman"/>
                <w:b/>
                <w:sz w:val="18"/>
                <w:szCs w:val="18"/>
              </w:rPr>
              <w:t>Injury Severity</w:t>
            </w:r>
            <w:r w:rsidRPr="000A7465">
              <w:rPr>
                <w:rFonts w:ascii="Times New Roman" w:hAnsi="Times New Roman" w:cs="Times New Roman"/>
                <w:sz w:val="18"/>
                <w:szCs w:val="18"/>
              </w:rPr>
              <w:t xml:space="preserve"> </w:t>
            </w:r>
            <w:r w:rsidRPr="000A7465">
              <w:rPr>
                <w:rFonts w:ascii="Times New Roman" w:hAnsi="Times New Roman" w:cs="Times New Roman"/>
                <w:b/>
                <w:sz w:val="18"/>
                <w:szCs w:val="18"/>
              </w:rPr>
              <w:t>Definitions</w:t>
            </w:r>
          </w:p>
          <w:p w14:paraId="595BC740" w14:textId="77777777" w:rsidR="00DE2D3C" w:rsidRPr="000A7465" w:rsidRDefault="00DE2D3C" w:rsidP="000F122F">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lang w:val="en-AU"/>
              </w:rPr>
              <w:t>Low = 1-19 doses/season; 4 teams (100 athletes)</w:t>
            </w:r>
          </w:p>
          <w:p w14:paraId="30F7D39E" w14:textId="77777777" w:rsidR="00DE2D3C" w:rsidRPr="000A7465" w:rsidRDefault="00DE2D3C" w:rsidP="000F122F">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lang w:val="en-AU"/>
              </w:rPr>
              <w:t>Moderate = 20-39 doses/season; 14 teams (350 athletes)</w:t>
            </w:r>
          </w:p>
          <w:p w14:paraId="2E7E276C" w14:textId="77777777" w:rsidR="00DE2D3C" w:rsidRPr="000A7465" w:rsidRDefault="00DE2D3C" w:rsidP="000F122F">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lang w:val="en-AU"/>
              </w:rPr>
              <w:t>High = &gt; 40 doses/season; 9 teams (225 athletes)</w:t>
            </w:r>
          </w:p>
          <w:p w14:paraId="273BC52E" w14:textId="77777777" w:rsidR="00DE2D3C" w:rsidRPr="000A7465" w:rsidRDefault="00DE2D3C" w:rsidP="006F7B69">
            <w:pPr>
              <w:rPr>
                <w:rFonts w:ascii="Times New Roman" w:hAnsi="Times New Roman" w:cs="Times New Roman"/>
                <w:b/>
                <w:sz w:val="18"/>
                <w:szCs w:val="18"/>
              </w:rPr>
            </w:pPr>
          </w:p>
        </w:tc>
        <w:tc>
          <w:tcPr>
            <w:tcW w:w="4584" w:type="dxa"/>
          </w:tcPr>
          <w:p w14:paraId="38BB179A" w14:textId="67D9FB7C" w:rsidR="00DE2D3C" w:rsidRPr="000A7465" w:rsidRDefault="00DE2D3C" w:rsidP="000F122F">
            <w:pPr>
              <w:rPr>
                <w:rFonts w:ascii="Times New Roman" w:hAnsi="Times New Roman" w:cs="Times New Roman"/>
                <w:sz w:val="18"/>
                <w:szCs w:val="18"/>
              </w:rPr>
            </w:pPr>
            <w:r w:rsidRPr="000A7465">
              <w:rPr>
                <w:rFonts w:ascii="Times New Roman" w:hAnsi="Times New Roman" w:cs="Times New Roman"/>
                <w:b/>
                <w:sz w:val="18"/>
                <w:szCs w:val="18"/>
              </w:rPr>
              <w:t>Team Compliance:</w:t>
            </w:r>
            <w:r w:rsidRPr="000A7465">
              <w:rPr>
                <w:rFonts w:ascii="Times New Roman" w:hAnsi="Times New Roman" w:cs="Times New Roman"/>
                <w:sz w:val="18"/>
                <w:szCs w:val="18"/>
              </w:rPr>
              <w:t xml:space="preserve"> Average 2.2 </w:t>
            </w:r>
            <w:r w:rsidR="00E42956">
              <w:rPr>
                <w:rFonts w:ascii="Times New Roman" w:hAnsi="Times New Roman" w:cs="Times New Roman"/>
                <w:sz w:val="18"/>
                <w:szCs w:val="18"/>
              </w:rPr>
              <w:t>“</w:t>
            </w:r>
            <w:r w:rsidRPr="000A7465">
              <w:rPr>
                <w:rFonts w:ascii="Times New Roman" w:hAnsi="Times New Roman" w:cs="Times New Roman"/>
                <w:sz w:val="18"/>
                <w:szCs w:val="18"/>
              </w:rPr>
              <w:t>11+</w:t>
            </w:r>
            <w:r w:rsidR="00E42956">
              <w:rPr>
                <w:rFonts w:ascii="Times New Roman" w:hAnsi="Times New Roman" w:cs="Times New Roman"/>
                <w:sz w:val="18"/>
                <w:szCs w:val="18"/>
              </w:rPr>
              <w:t>”</w:t>
            </w:r>
            <w:r w:rsidRPr="000A7465">
              <w:rPr>
                <w:rFonts w:ascii="Times New Roman" w:hAnsi="Times New Roman" w:cs="Times New Roman"/>
                <w:sz w:val="18"/>
                <w:szCs w:val="18"/>
              </w:rPr>
              <w:t xml:space="preserve"> IPP utilizations per week over the course of the season </w:t>
            </w:r>
          </w:p>
          <w:p w14:paraId="7C853FB7" w14:textId="16B4D028" w:rsidR="00DE2D3C" w:rsidRPr="000A7465" w:rsidRDefault="00DE2D3C" w:rsidP="000F122F">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lang w:val="en-AU"/>
              </w:rPr>
              <w:t xml:space="preserve">Low: ≤ 1 dose/week (1-19 doses/season); 4 teams </w:t>
            </w:r>
          </w:p>
          <w:p w14:paraId="4040A6DD" w14:textId="68CF75A9" w:rsidR="00DE2D3C" w:rsidRPr="000A7465" w:rsidRDefault="00DE2D3C" w:rsidP="00DE2D3C">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lang w:val="en-AU"/>
              </w:rPr>
              <w:t>Moderate: &gt; 1 and &lt; 2 doses/week (20-39 doses/season); 4 teams</w:t>
            </w:r>
          </w:p>
          <w:p w14:paraId="52C8A39C" w14:textId="49757B08" w:rsidR="00DE2D3C" w:rsidRPr="000A7465" w:rsidRDefault="00DE2D3C" w:rsidP="00DE2D3C">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lang w:val="en-AU"/>
              </w:rPr>
              <w:t xml:space="preserve">High = ≥ 2 doses/week (&gt; 40 doses/season); 9 teams </w:t>
            </w:r>
          </w:p>
          <w:p w14:paraId="7639788D" w14:textId="77777777" w:rsidR="00DE2D3C" w:rsidRPr="000A7465" w:rsidRDefault="00DE2D3C" w:rsidP="000F122F">
            <w:pPr>
              <w:rPr>
                <w:rFonts w:ascii="Times New Roman" w:hAnsi="Times New Roman" w:cs="Times New Roman"/>
                <w:sz w:val="18"/>
                <w:szCs w:val="18"/>
              </w:rPr>
            </w:pPr>
            <w:r w:rsidRPr="000A7465">
              <w:rPr>
                <w:rFonts w:ascii="Times New Roman" w:hAnsi="Times New Roman" w:cs="Times New Roman"/>
                <w:b/>
                <w:sz w:val="18"/>
                <w:szCs w:val="18"/>
              </w:rPr>
              <w:t>Compliance and injury rate</w:t>
            </w:r>
            <w:r w:rsidRPr="000A7465">
              <w:rPr>
                <w:rFonts w:ascii="Times New Roman" w:hAnsi="Times New Roman" w:cs="Times New Roman"/>
                <w:sz w:val="18"/>
                <w:szCs w:val="18"/>
              </w:rPr>
              <w:t>: Compliance was negatively correlated with injury rate:</w:t>
            </w:r>
          </w:p>
          <w:p w14:paraId="15D2B41C" w14:textId="77777777" w:rsidR="00DE2D3C" w:rsidRPr="000A7465" w:rsidRDefault="00DE2D3C" w:rsidP="000F122F">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rPr>
              <w:t xml:space="preserve"> </w:t>
            </w:r>
            <w:r w:rsidRPr="000A7465">
              <w:rPr>
                <w:rFonts w:ascii="Times New Roman" w:hAnsi="Times New Roman" w:cs="Times New Roman"/>
                <w:i/>
                <w:iCs/>
                <w:sz w:val="18"/>
                <w:szCs w:val="18"/>
              </w:rPr>
              <w:t xml:space="preserve">b </w:t>
            </w:r>
            <w:r w:rsidRPr="000A7465">
              <w:rPr>
                <w:rFonts w:ascii="Times New Roman" w:hAnsi="Times New Roman" w:cs="Times New Roman"/>
                <w:sz w:val="18"/>
                <w:szCs w:val="18"/>
              </w:rPr>
              <w:t xml:space="preserve">= − 1.6, </w:t>
            </w:r>
            <w:r w:rsidRPr="000A7465">
              <w:rPr>
                <w:rFonts w:ascii="Times New Roman" w:hAnsi="Times New Roman" w:cs="Times New Roman"/>
                <w:i/>
                <w:iCs/>
                <w:sz w:val="18"/>
                <w:szCs w:val="18"/>
              </w:rPr>
              <w:t xml:space="preserve">t </w:t>
            </w:r>
            <w:r w:rsidRPr="000A7465">
              <w:rPr>
                <w:rFonts w:ascii="Times New Roman" w:hAnsi="Times New Roman" w:cs="Times New Roman"/>
                <w:sz w:val="18"/>
                <w:szCs w:val="18"/>
              </w:rPr>
              <w:t xml:space="preserve">= − 3.2, </w:t>
            </w:r>
            <w:r w:rsidRPr="000A7465">
              <w:rPr>
                <w:rFonts w:ascii="Times New Roman" w:hAnsi="Times New Roman" w:cs="Times New Roman"/>
                <w:i/>
                <w:iCs/>
                <w:sz w:val="18"/>
                <w:szCs w:val="18"/>
              </w:rPr>
              <w:t>p</w:t>
            </w:r>
            <w:r w:rsidRPr="000A7465">
              <w:rPr>
                <w:rFonts w:ascii="Times New Roman" w:hAnsi="Times New Roman" w:cs="Times New Roman"/>
                <w:sz w:val="18"/>
                <w:szCs w:val="18"/>
              </w:rPr>
              <w:t xml:space="preserve">=0.004, </w:t>
            </w:r>
            <w:r w:rsidRPr="000A7465">
              <w:rPr>
                <w:rFonts w:ascii="Times New Roman" w:hAnsi="Times New Roman" w:cs="Times New Roman"/>
                <w:i/>
                <w:iCs/>
                <w:sz w:val="18"/>
                <w:szCs w:val="18"/>
              </w:rPr>
              <w:t>R</w:t>
            </w:r>
            <w:r w:rsidRPr="000A7465">
              <w:rPr>
                <w:rFonts w:ascii="Times New Roman" w:hAnsi="Times New Roman" w:cs="Times New Roman"/>
                <w:sz w:val="18"/>
                <w:szCs w:val="18"/>
              </w:rPr>
              <w:t xml:space="preserve">2=0.029 </w:t>
            </w:r>
          </w:p>
          <w:tbl>
            <w:tblPr>
              <w:tblStyle w:val="TableGrid"/>
              <w:tblW w:w="0" w:type="auto"/>
              <w:tblLayout w:type="fixed"/>
              <w:tblLook w:val="04A0" w:firstRow="1" w:lastRow="0" w:firstColumn="1" w:lastColumn="0" w:noHBand="0" w:noVBand="1"/>
            </w:tblPr>
            <w:tblGrid>
              <w:gridCol w:w="1136"/>
              <w:gridCol w:w="765"/>
              <w:gridCol w:w="593"/>
              <w:gridCol w:w="902"/>
              <w:gridCol w:w="968"/>
            </w:tblGrid>
            <w:tr w:rsidR="00DE2D3C" w:rsidRPr="000A7465" w14:paraId="0138B2C4" w14:textId="77777777" w:rsidTr="000F122F">
              <w:tc>
                <w:tcPr>
                  <w:tcW w:w="1136" w:type="dxa"/>
                </w:tcPr>
                <w:p w14:paraId="4F544573" w14:textId="77777777" w:rsidR="00DE2D3C" w:rsidRPr="000A7465" w:rsidRDefault="00DE2D3C" w:rsidP="000F122F">
                  <w:pPr>
                    <w:rPr>
                      <w:rFonts w:ascii="Times New Roman" w:hAnsi="Times New Roman" w:cs="Times New Roman"/>
                      <w:b/>
                      <w:sz w:val="18"/>
                      <w:szCs w:val="18"/>
                    </w:rPr>
                  </w:pPr>
                  <w:r w:rsidRPr="000A7465">
                    <w:rPr>
                      <w:rFonts w:ascii="Times New Roman" w:hAnsi="Times New Roman" w:cs="Times New Roman"/>
                      <w:b/>
                      <w:sz w:val="18"/>
                      <w:szCs w:val="18"/>
                    </w:rPr>
                    <w:t>Compliance</w:t>
                  </w:r>
                </w:p>
              </w:tc>
              <w:tc>
                <w:tcPr>
                  <w:tcW w:w="765" w:type="dxa"/>
                </w:tcPr>
                <w:p w14:paraId="6EF93E37" w14:textId="77777777" w:rsidR="00DE2D3C" w:rsidRPr="000A7465" w:rsidRDefault="00DE2D3C" w:rsidP="000F122F">
                  <w:pPr>
                    <w:rPr>
                      <w:rFonts w:ascii="Times New Roman" w:hAnsi="Times New Roman" w:cs="Times New Roman"/>
                      <w:b/>
                      <w:sz w:val="18"/>
                      <w:szCs w:val="18"/>
                    </w:rPr>
                  </w:pPr>
                  <w:r w:rsidRPr="000A7465">
                    <w:rPr>
                      <w:rFonts w:ascii="Times New Roman" w:hAnsi="Times New Roman" w:cs="Times New Roman"/>
                      <w:b/>
                      <w:sz w:val="18"/>
                      <w:szCs w:val="18"/>
                    </w:rPr>
                    <w:t>injury rate</w:t>
                  </w:r>
                </w:p>
              </w:tc>
              <w:tc>
                <w:tcPr>
                  <w:tcW w:w="593" w:type="dxa"/>
                </w:tcPr>
                <w:p w14:paraId="6AD4C455" w14:textId="77777777" w:rsidR="00DE2D3C" w:rsidRPr="000A7465" w:rsidRDefault="00DE2D3C" w:rsidP="000F122F">
                  <w:pPr>
                    <w:rPr>
                      <w:rFonts w:ascii="Times New Roman" w:hAnsi="Times New Roman" w:cs="Times New Roman"/>
                      <w:b/>
                      <w:sz w:val="18"/>
                      <w:szCs w:val="18"/>
                    </w:rPr>
                  </w:pPr>
                  <w:r w:rsidRPr="000A7465">
                    <w:rPr>
                      <w:rFonts w:ascii="Times New Roman" w:hAnsi="Times New Roman" w:cs="Times New Roman"/>
                      <w:b/>
                      <w:sz w:val="18"/>
                      <w:szCs w:val="18"/>
                    </w:rPr>
                    <w:t>RR^</w:t>
                  </w:r>
                </w:p>
              </w:tc>
              <w:tc>
                <w:tcPr>
                  <w:tcW w:w="902" w:type="dxa"/>
                </w:tcPr>
                <w:p w14:paraId="7F7CD08F" w14:textId="77777777" w:rsidR="00DE2D3C" w:rsidRPr="000A7465" w:rsidRDefault="00DE2D3C" w:rsidP="000F122F">
                  <w:pPr>
                    <w:rPr>
                      <w:rFonts w:ascii="Times New Roman" w:hAnsi="Times New Roman" w:cs="Times New Roman"/>
                      <w:b/>
                      <w:sz w:val="18"/>
                      <w:szCs w:val="18"/>
                    </w:rPr>
                  </w:pPr>
                  <w:r w:rsidRPr="000A7465">
                    <w:rPr>
                      <w:rFonts w:ascii="Times New Roman" w:hAnsi="Times New Roman" w:cs="Times New Roman"/>
                      <w:b/>
                      <w:sz w:val="18"/>
                      <w:szCs w:val="18"/>
                    </w:rPr>
                    <w:t>95% CI</w:t>
                  </w:r>
                </w:p>
              </w:tc>
              <w:tc>
                <w:tcPr>
                  <w:tcW w:w="968" w:type="dxa"/>
                </w:tcPr>
                <w:p w14:paraId="7259FC80" w14:textId="77777777" w:rsidR="00DE2D3C" w:rsidRPr="000A7465" w:rsidRDefault="00DE2D3C" w:rsidP="000F122F">
                  <w:pPr>
                    <w:rPr>
                      <w:rFonts w:ascii="Times New Roman" w:hAnsi="Times New Roman" w:cs="Times New Roman"/>
                      <w:b/>
                      <w:sz w:val="18"/>
                      <w:szCs w:val="18"/>
                    </w:rPr>
                  </w:pPr>
                  <w:r w:rsidRPr="000A7465">
                    <w:rPr>
                      <w:rFonts w:ascii="Times New Roman" w:hAnsi="Times New Roman" w:cs="Times New Roman"/>
                      <w:b/>
                      <w:sz w:val="18"/>
                      <w:szCs w:val="18"/>
                    </w:rPr>
                    <w:t>p value</w:t>
                  </w:r>
                </w:p>
              </w:tc>
            </w:tr>
            <w:tr w:rsidR="00DE2D3C" w:rsidRPr="000A7465" w14:paraId="1F4A7596" w14:textId="77777777" w:rsidTr="000F122F">
              <w:trPr>
                <w:trHeight w:val="179"/>
              </w:trPr>
              <w:tc>
                <w:tcPr>
                  <w:tcW w:w="1136" w:type="dxa"/>
                </w:tcPr>
                <w:p w14:paraId="772EAAD8" w14:textId="77777777" w:rsidR="00DE2D3C" w:rsidRPr="000A7465" w:rsidRDefault="00DE2D3C" w:rsidP="000F122F">
                  <w:pPr>
                    <w:rPr>
                      <w:rFonts w:ascii="Times New Roman" w:hAnsi="Times New Roman" w:cs="Times New Roman"/>
                      <w:sz w:val="18"/>
                      <w:szCs w:val="18"/>
                    </w:rPr>
                  </w:pPr>
                  <w:r w:rsidRPr="000A7465">
                    <w:rPr>
                      <w:rFonts w:ascii="Times New Roman" w:hAnsi="Times New Roman" w:cs="Times New Roman"/>
                      <w:sz w:val="18"/>
                      <w:szCs w:val="18"/>
                    </w:rPr>
                    <w:t>Low</w:t>
                  </w:r>
                </w:p>
              </w:tc>
              <w:tc>
                <w:tcPr>
                  <w:tcW w:w="765" w:type="dxa"/>
                </w:tcPr>
                <w:p w14:paraId="545D0FAA" w14:textId="77777777" w:rsidR="00DE2D3C" w:rsidRPr="000A7465" w:rsidRDefault="00DE2D3C" w:rsidP="000F122F">
                  <w:pPr>
                    <w:rPr>
                      <w:rFonts w:ascii="Times New Roman" w:hAnsi="Times New Roman" w:cs="Times New Roman"/>
                      <w:sz w:val="18"/>
                      <w:szCs w:val="18"/>
                    </w:rPr>
                  </w:pPr>
                  <w:r w:rsidRPr="000A7465">
                    <w:rPr>
                      <w:rFonts w:ascii="Times New Roman" w:hAnsi="Times New Roman" w:cs="Times New Roman"/>
                      <w:sz w:val="18"/>
                      <w:szCs w:val="18"/>
                    </w:rPr>
                    <w:t>10±2.2</w:t>
                  </w:r>
                </w:p>
              </w:tc>
              <w:tc>
                <w:tcPr>
                  <w:tcW w:w="593" w:type="dxa"/>
                </w:tcPr>
                <w:p w14:paraId="112EC10E" w14:textId="77777777" w:rsidR="00DE2D3C" w:rsidRPr="000A7465" w:rsidRDefault="00DE2D3C" w:rsidP="000F122F">
                  <w:pPr>
                    <w:rPr>
                      <w:rFonts w:ascii="Times New Roman" w:hAnsi="Times New Roman" w:cs="Times New Roman"/>
                      <w:sz w:val="18"/>
                      <w:szCs w:val="18"/>
                    </w:rPr>
                  </w:pPr>
                  <w:r w:rsidRPr="000A7465">
                    <w:rPr>
                      <w:rFonts w:ascii="Times New Roman" w:hAnsi="Times New Roman" w:cs="Times New Roman"/>
                      <w:sz w:val="18"/>
                      <w:szCs w:val="18"/>
                    </w:rPr>
                    <w:t>1.6</w:t>
                  </w:r>
                </w:p>
              </w:tc>
              <w:tc>
                <w:tcPr>
                  <w:tcW w:w="902" w:type="dxa"/>
                </w:tcPr>
                <w:p w14:paraId="49B0F6D3" w14:textId="77777777" w:rsidR="00DE2D3C" w:rsidRPr="000A7465" w:rsidRDefault="00DE2D3C" w:rsidP="000F122F">
                  <w:pPr>
                    <w:rPr>
                      <w:rFonts w:ascii="Times New Roman" w:hAnsi="Times New Roman" w:cs="Times New Roman"/>
                      <w:sz w:val="18"/>
                      <w:szCs w:val="18"/>
                    </w:rPr>
                  </w:pPr>
                  <w:r w:rsidRPr="000A7465">
                    <w:rPr>
                      <w:rFonts w:ascii="Times New Roman" w:hAnsi="Times New Roman" w:cs="Times New Roman"/>
                      <w:sz w:val="18"/>
                      <w:szCs w:val="18"/>
                    </w:rPr>
                    <w:t>1.3-2.1</w:t>
                  </w:r>
                </w:p>
              </w:tc>
              <w:tc>
                <w:tcPr>
                  <w:tcW w:w="968" w:type="dxa"/>
                </w:tcPr>
                <w:p w14:paraId="24F9D418" w14:textId="1A946D57" w:rsidR="00DE2D3C" w:rsidRPr="000A7465" w:rsidRDefault="00DE2D3C" w:rsidP="000F122F">
                  <w:pPr>
                    <w:rPr>
                      <w:rFonts w:ascii="Times New Roman" w:hAnsi="Times New Roman" w:cs="Times New Roman"/>
                      <w:sz w:val="18"/>
                      <w:szCs w:val="18"/>
                    </w:rPr>
                  </w:pPr>
                  <w:r w:rsidRPr="000A7465">
                    <w:rPr>
                      <w:rFonts w:ascii="Times New Roman" w:hAnsi="Times New Roman" w:cs="Times New Roman"/>
                      <w:sz w:val="18"/>
                      <w:szCs w:val="18"/>
                    </w:rPr>
                    <w:t>&lt;0.001*</w:t>
                  </w:r>
                </w:p>
              </w:tc>
            </w:tr>
            <w:tr w:rsidR="00DE2D3C" w:rsidRPr="000A7465" w14:paraId="06AA0A35" w14:textId="77777777" w:rsidTr="000F122F">
              <w:trPr>
                <w:trHeight w:val="143"/>
              </w:trPr>
              <w:tc>
                <w:tcPr>
                  <w:tcW w:w="1136" w:type="dxa"/>
                </w:tcPr>
                <w:p w14:paraId="068DBF4E" w14:textId="77777777" w:rsidR="00DE2D3C" w:rsidRPr="000A7465" w:rsidRDefault="00DE2D3C" w:rsidP="000F122F">
                  <w:pPr>
                    <w:rPr>
                      <w:rFonts w:ascii="Times New Roman" w:hAnsi="Times New Roman" w:cs="Times New Roman"/>
                      <w:sz w:val="18"/>
                      <w:szCs w:val="18"/>
                    </w:rPr>
                  </w:pPr>
                  <w:r w:rsidRPr="000A7465">
                    <w:rPr>
                      <w:rFonts w:ascii="Times New Roman" w:hAnsi="Times New Roman" w:cs="Times New Roman"/>
                      <w:sz w:val="18"/>
                      <w:szCs w:val="18"/>
                    </w:rPr>
                    <w:t>Moderate</w:t>
                  </w:r>
                </w:p>
              </w:tc>
              <w:tc>
                <w:tcPr>
                  <w:tcW w:w="765" w:type="dxa"/>
                </w:tcPr>
                <w:p w14:paraId="06F0D594" w14:textId="77777777" w:rsidR="00DE2D3C" w:rsidRPr="000A7465" w:rsidRDefault="00DE2D3C" w:rsidP="000F122F">
                  <w:pPr>
                    <w:rPr>
                      <w:rFonts w:ascii="Times New Roman" w:hAnsi="Times New Roman" w:cs="Times New Roman"/>
                      <w:sz w:val="18"/>
                      <w:szCs w:val="18"/>
                    </w:rPr>
                  </w:pPr>
                  <w:r w:rsidRPr="000A7465">
                    <w:rPr>
                      <w:rFonts w:ascii="Times New Roman" w:hAnsi="Times New Roman" w:cs="Times New Roman"/>
                      <w:sz w:val="18"/>
                      <w:szCs w:val="18"/>
                    </w:rPr>
                    <w:t>8.6±2.5</w:t>
                  </w:r>
                </w:p>
              </w:tc>
              <w:tc>
                <w:tcPr>
                  <w:tcW w:w="593" w:type="dxa"/>
                </w:tcPr>
                <w:p w14:paraId="603E31C1" w14:textId="77777777" w:rsidR="00DE2D3C" w:rsidRPr="000A7465" w:rsidRDefault="00DE2D3C" w:rsidP="000F122F">
                  <w:pPr>
                    <w:rPr>
                      <w:rFonts w:ascii="Times New Roman" w:hAnsi="Times New Roman" w:cs="Times New Roman"/>
                      <w:sz w:val="18"/>
                      <w:szCs w:val="18"/>
                    </w:rPr>
                  </w:pPr>
                  <w:r w:rsidRPr="000A7465">
                    <w:rPr>
                      <w:rFonts w:ascii="Times New Roman" w:hAnsi="Times New Roman" w:cs="Times New Roman"/>
                      <w:sz w:val="18"/>
                      <w:szCs w:val="18"/>
                    </w:rPr>
                    <w:t xml:space="preserve">1.3 </w:t>
                  </w:r>
                </w:p>
              </w:tc>
              <w:tc>
                <w:tcPr>
                  <w:tcW w:w="902" w:type="dxa"/>
                </w:tcPr>
                <w:p w14:paraId="4D07B2A6" w14:textId="77777777" w:rsidR="00DE2D3C" w:rsidRPr="000A7465" w:rsidRDefault="00DE2D3C" w:rsidP="000F122F">
                  <w:pPr>
                    <w:rPr>
                      <w:rFonts w:ascii="Times New Roman" w:hAnsi="Times New Roman" w:cs="Times New Roman"/>
                      <w:sz w:val="18"/>
                      <w:szCs w:val="18"/>
                    </w:rPr>
                  </w:pPr>
                  <w:r w:rsidRPr="000A7465">
                    <w:rPr>
                      <w:rFonts w:ascii="Times New Roman" w:hAnsi="Times New Roman" w:cs="Times New Roman"/>
                      <w:sz w:val="18"/>
                      <w:szCs w:val="18"/>
                    </w:rPr>
                    <w:t>1.1-1.7</w:t>
                  </w:r>
                </w:p>
              </w:tc>
              <w:tc>
                <w:tcPr>
                  <w:tcW w:w="968" w:type="dxa"/>
                </w:tcPr>
                <w:p w14:paraId="3B5D559C" w14:textId="1686A3E2" w:rsidR="00DE2D3C" w:rsidRPr="000A7465" w:rsidRDefault="00DE2D3C" w:rsidP="000F122F">
                  <w:pPr>
                    <w:rPr>
                      <w:rFonts w:ascii="Times New Roman" w:hAnsi="Times New Roman" w:cs="Times New Roman"/>
                      <w:sz w:val="18"/>
                      <w:szCs w:val="18"/>
                    </w:rPr>
                  </w:pPr>
                  <w:r w:rsidRPr="000A7465">
                    <w:rPr>
                      <w:rFonts w:ascii="Times New Roman" w:hAnsi="Times New Roman" w:cs="Times New Roman"/>
                      <w:sz w:val="18"/>
                      <w:szCs w:val="18"/>
                    </w:rPr>
                    <w:t>0.009*</w:t>
                  </w:r>
                </w:p>
              </w:tc>
            </w:tr>
            <w:tr w:rsidR="00DE2D3C" w:rsidRPr="000A7465" w14:paraId="281FC45D" w14:textId="77777777" w:rsidTr="000F122F">
              <w:trPr>
                <w:trHeight w:val="165"/>
              </w:trPr>
              <w:tc>
                <w:tcPr>
                  <w:tcW w:w="1136" w:type="dxa"/>
                </w:tcPr>
                <w:p w14:paraId="44564023" w14:textId="77777777" w:rsidR="00DE2D3C" w:rsidRPr="000A7465" w:rsidRDefault="00DE2D3C" w:rsidP="000F122F">
                  <w:pPr>
                    <w:rPr>
                      <w:rFonts w:ascii="Times New Roman" w:hAnsi="Times New Roman" w:cs="Times New Roman"/>
                      <w:sz w:val="18"/>
                      <w:szCs w:val="18"/>
                    </w:rPr>
                  </w:pPr>
                  <w:r w:rsidRPr="000A7465">
                    <w:rPr>
                      <w:rFonts w:ascii="Times New Roman" w:hAnsi="Times New Roman" w:cs="Times New Roman"/>
                      <w:sz w:val="18"/>
                      <w:szCs w:val="18"/>
                    </w:rPr>
                    <w:t xml:space="preserve">High </w:t>
                  </w:r>
                </w:p>
              </w:tc>
              <w:tc>
                <w:tcPr>
                  <w:tcW w:w="765" w:type="dxa"/>
                </w:tcPr>
                <w:p w14:paraId="3BE750FD" w14:textId="77777777" w:rsidR="00DE2D3C" w:rsidRPr="000A7465" w:rsidRDefault="00DE2D3C" w:rsidP="000F122F">
                  <w:pPr>
                    <w:rPr>
                      <w:rFonts w:ascii="Times New Roman" w:hAnsi="Times New Roman" w:cs="Times New Roman"/>
                      <w:sz w:val="18"/>
                      <w:szCs w:val="18"/>
                    </w:rPr>
                  </w:pPr>
                  <w:r w:rsidRPr="000A7465">
                    <w:rPr>
                      <w:rFonts w:ascii="Times New Roman" w:hAnsi="Times New Roman" w:cs="Times New Roman"/>
                      <w:sz w:val="18"/>
                      <w:szCs w:val="18"/>
                    </w:rPr>
                    <w:t>6.4±2.7</w:t>
                  </w:r>
                </w:p>
              </w:tc>
              <w:tc>
                <w:tcPr>
                  <w:tcW w:w="593" w:type="dxa"/>
                </w:tcPr>
                <w:p w14:paraId="341ABE52" w14:textId="77777777" w:rsidR="00DE2D3C" w:rsidRPr="000A7465" w:rsidRDefault="00DE2D3C" w:rsidP="000F122F">
                  <w:pPr>
                    <w:rPr>
                      <w:rFonts w:ascii="Times New Roman" w:hAnsi="Times New Roman" w:cs="Times New Roman"/>
                      <w:sz w:val="18"/>
                      <w:szCs w:val="18"/>
                    </w:rPr>
                  </w:pPr>
                </w:p>
              </w:tc>
              <w:tc>
                <w:tcPr>
                  <w:tcW w:w="902" w:type="dxa"/>
                </w:tcPr>
                <w:p w14:paraId="0104236A" w14:textId="77777777" w:rsidR="00DE2D3C" w:rsidRPr="000A7465" w:rsidRDefault="00DE2D3C" w:rsidP="000F122F">
                  <w:pPr>
                    <w:rPr>
                      <w:rFonts w:ascii="Times New Roman" w:hAnsi="Times New Roman" w:cs="Times New Roman"/>
                      <w:sz w:val="18"/>
                      <w:szCs w:val="18"/>
                    </w:rPr>
                  </w:pPr>
                </w:p>
              </w:tc>
              <w:tc>
                <w:tcPr>
                  <w:tcW w:w="968" w:type="dxa"/>
                </w:tcPr>
                <w:p w14:paraId="16CF41E6" w14:textId="77777777" w:rsidR="00DE2D3C" w:rsidRPr="000A7465" w:rsidRDefault="00DE2D3C" w:rsidP="000F122F">
                  <w:pPr>
                    <w:rPr>
                      <w:rFonts w:ascii="Times New Roman" w:hAnsi="Times New Roman" w:cs="Times New Roman"/>
                      <w:sz w:val="18"/>
                      <w:szCs w:val="18"/>
                    </w:rPr>
                  </w:pPr>
                </w:p>
              </w:tc>
            </w:tr>
          </w:tbl>
          <w:p w14:paraId="65BCDE6A" w14:textId="77777777" w:rsidR="00DE2D3C" w:rsidRPr="000A7465" w:rsidRDefault="00DE2D3C" w:rsidP="000F122F">
            <w:pPr>
              <w:rPr>
                <w:rFonts w:ascii="Times New Roman" w:hAnsi="Times New Roman" w:cs="Times New Roman"/>
                <w:sz w:val="18"/>
                <w:szCs w:val="18"/>
              </w:rPr>
            </w:pPr>
            <w:r w:rsidRPr="000A7465">
              <w:rPr>
                <w:rFonts w:ascii="Times New Roman" w:hAnsi="Times New Roman" w:cs="Times New Roman"/>
                <w:sz w:val="18"/>
                <w:szCs w:val="18"/>
              </w:rPr>
              <w:t xml:space="preserve">^RR versus high compliance group </w:t>
            </w:r>
          </w:p>
          <w:p w14:paraId="19AD7AAA" w14:textId="77777777" w:rsidR="00DE2D3C" w:rsidRPr="000A7465" w:rsidRDefault="00DE2D3C" w:rsidP="000F122F">
            <w:pPr>
              <w:rPr>
                <w:rFonts w:ascii="Times New Roman" w:hAnsi="Times New Roman" w:cs="Times New Roman"/>
                <w:sz w:val="18"/>
                <w:szCs w:val="18"/>
              </w:rPr>
            </w:pPr>
          </w:p>
          <w:p w14:paraId="2F478800" w14:textId="77777777" w:rsidR="00DE2D3C" w:rsidRPr="000A7465" w:rsidRDefault="00DE2D3C" w:rsidP="000F122F">
            <w:pPr>
              <w:rPr>
                <w:rFonts w:ascii="Times New Roman" w:hAnsi="Times New Roman" w:cs="Times New Roman"/>
                <w:sz w:val="18"/>
                <w:szCs w:val="18"/>
              </w:rPr>
            </w:pPr>
            <w:r w:rsidRPr="000A7465">
              <w:rPr>
                <w:rFonts w:ascii="Times New Roman" w:hAnsi="Times New Roman" w:cs="Times New Roman"/>
                <w:b/>
                <w:sz w:val="18"/>
                <w:szCs w:val="18"/>
              </w:rPr>
              <w:t>Time lost due to injury and compliance</w:t>
            </w:r>
            <w:r w:rsidRPr="000A7465">
              <w:rPr>
                <w:rFonts w:ascii="Times New Roman" w:hAnsi="Times New Roman" w:cs="Times New Roman"/>
                <w:sz w:val="18"/>
                <w:szCs w:val="18"/>
              </w:rPr>
              <w:t xml:space="preserve">: </w:t>
            </w:r>
          </w:p>
          <w:p w14:paraId="3B0841C4" w14:textId="65B7529D" w:rsidR="00DE2D3C" w:rsidRPr="000A7465" w:rsidRDefault="0014011D" w:rsidP="0014011D">
            <w:pPr>
              <w:rPr>
                <w:rFonts w:ascii="Times New Roman" w:hAnsi="Times New Roman" w:cs="Times New Roman"/>
                <w:b/>
                <w:sz w:val="18"/>
                <w:szCs w:val="18"/>
              </w:rPr>
            </w:pPr>
            <w:r w:rsidRPr="000A7465">
              <w:rPr>
                <w:rFonts w:ascii="Times New Roman" w:hAnsi="Times New Roman" w:cs="Times New Roman"/>
                <w:sz w:val="18"/>
                <w:szCs w:val="18"/>
              </w:rPr>
              <w:t>High compliance</w:t>
            </w:r>
            <w:r w:rsidR="00DE2D3C" w:rsidRPr="000A7465">
              <w:rPr>
                <w:rFonts w:ascii="Times New Roman" w:hAnsi="Times New Roman" w:cs="Times New Roman"/>
                <w:sz w:val="18"/>
                <w:szCs w:val="18"/>
              </w:rPr>
              <w:t xml:space="preserve"> group had the lowest number of days missed per team and </w:t>
            </w:r>
            <w:r w:rsidRPr="000A7465">
              <w:rPr>
                <w:rFonts w:ascii="Times New Roman" w:hAnsi="Times New Roman" w:cs="Times New Roman"/>
                <w:sz w:val="18"/>
                <w:szCs w:val="18"/>
              </w:rPr>
              <w:t xml:space="preserve">a </w:t>
            </w:r>
            <w:r w:rsidR="00DE2D3C" w:rsidRPr="000A7465">
              <w:rPr>
                <w:rFonts w:ascii="Times New Roman" w:hAnsi="Times New Roman" w:cs="Times New Roman"/>
                <w:sz w:val="18"/>
                <w:szCs w:val="18"/>
              </w:rPr>
              <w:t xml:space="preserve">lower number of days lost per injury versus </w:t>
            </w:r>
            <w:r w:rsidRPr="000A7465">
              <w:rPr>
                <w:rFonts w:ascii="Times New Roman" w:hAnsi="Times New Roman" w:cs="Times New Roman"/>
                <w:sz w:val="18"/>
                <w:szCs w:val="18"/>
              </w:rPr>
              <w:t>low or moderate compliance teams</w:t>
            </w:r>
          </w:p>
        </w:tc>
        <w:tc>
          <w:tcPr>
            <w:tcW w:w="3495" w:type="dxa"/>
          </w:tcPr>
          <w:p w14:paraId="3DD92431" w14:textId="262BEDEC" w:rsidR="00DE2D3C" w:rsidRPr="000A7465" w:rsidRDefault="00DE2D3C" w:rsidP="000F122F">
            <w:pPr>
              <w:rPr>
                <w:rFonts w:ascii="Times New Roman" w:hAnsi="Times New Roman" w:cs="Times New Roman"/>
                <w:sz w:val="18"/>
                <w:szCs w:val="18"/>
              </w:rPr>
            </w:pPr>
            <w:r w:rsidRPr="000A7465">
              <w:rPr>
                <w:rFonts w:ascii="Times New Roman" w:hAnsi="Times New Roman" w:cs="Times New Roman"/>
                <w:b/>
                <w:sz w:val="18"/>
                <w:szCs w:val="18"/>
              </w:rPr>
              <w:t>Conclusion</w:t>
            </w:r>
            <w:r w:rsidRPr="000A7465">
              <w:rPr>
                <w:rFonts w:ascii="Times New Roman" w:hAnsi="Times New Roman" w:cs="Times New Roman"/>
                <w:sz w:val="18"/>
                <w:szCs w:val="18"/>
              </w:rPr>
              <w:t>: Higher complianc</w:t>
            </w:r>
            <w:r w:rsidR="0014011D" w:rsidRPr="000A7465">
              <w:rPr>
                <w:rFonts w:ascii="Times New Roman" w:hAnsi="Times New Roman" w:cs="Times New Roman"/>
                <w:sz w:val="18"/>
                <w:szCs w:val="18"/>
              </w:rPr>
              <w:t>e</w:t>
            </w:r>
            <w:r w:rsidR="00E42956">
              <w:rPr>
                <w:rFonts w:ascii="Times New Roman" w:hAnsi="Times New Roman" w:cs="Times New Roman"/>
                <w:sz w:val="18"/>
                <w:szCs w:val="18"/>
              </w:rPr>
              <w:t xml:space="preserve"> (&gt; 2 sessions per week) with the “</w:t>
            </w:r>
            <w:r w:rsidRPr="000A7465">
              <w:rPr>
                <w:rFonts w:ascii="Times New Roman" w:hAnsi="Times New Roman" w:cs="Times New Roman"/>
                <w:sz w:val="18"/>
                <w:szCs w:val="18"/>
              </w:rPr>
              <w:t>11+</w:t>
            </w:r>
            <w:r w:rsidR="0014011D" w:rsidRPr="000A7465">
              <w:rPr>
                <w:rFonts w:ascii="Times New Roman" w:hAnsi="Times New Roman" w:cs="Times New Roman"/>
                <w:sz w:val="18"/>
                <w:szCs w:val="18"/>
              </w:rPr>
              <w:t>”</w:t>
            </w:r>
            <w:r w:rsidRPr="000A7465">
              <w:rPr>
                <w:rFonts w:ascii="Times New Roman" w:hAnsi="Times New Roman" w:cs="Times New Roman"/>
                <w:sz w:val="18"/>
                <w:szCs w:val="18"/>
              </w:rPr>
              <w:t xml:space="preserve"> IPP led a greater reduction in injury rate and time loss from injury led versus teams with lower compliance. </w:t>
            </w:r>
          </w:p>
          <w:p w14:paraId="4E4E3F7F" w14:textId="77777777" w:rsidR="00DE2D3C" w:rsidRPr="000A7465" w:rsidRDefault="00DE2D3C" w:rsidP="000F122F">
            <w:pPr>
              <w:rPr>
                <w:rFonts w:ascii="Times New Roman" w:hAnsi="Times New Roman" w:cs="Times New Roman"/>
                <w:sz w:val="18"/>
                <w:szCs w:val="18"/>
              </w:rPr>
            </w:pPr>
          </w:p>
          <w:p w14:paraId="46CFBDB1" w14:textId="0FCAD43F" w:rsidR="00DE2D3C" w:rsidRPr="000A7465" w:rsidRDefault="00DE2D3C" w:rsidP="00502F90">
            <w:pPr>
              <w:rPr>
                <w:rFonts w:ascii="Times New Roman" w:hAnsi="Times New Roman" w:cs="Times New Roman"/>
                <w:b/>
                <w:sz w:val="18"/>
                <w:szCs w:val="18"/>
              </w:rPr>
            </w:pPr>
            <w:r w:rsidRPr="000A7465">
              <w:rPr>
                <w:rFonts w:ascii="Times New Roman" w:hAnsi="Times New Roman" w:cs="Times New Roman"/>
                <w:b/>
                <w:i/>
                <w:sz w:val="18"/>
                <w:szCs w:val="18"/>
              </w:rPr>
              <w:t>strengths and limitations see Silvers-</w:t>
            </w:r>
            <w:proofErr w:type="spellStart"/>
            <w:r w:rsidRPr="000A7465">
              <w:rPr>
                <w:rFonts w:ascii="Times New Roman" w:hAnsi="Times New Roman" w:cs="Times New Roman"/>
                <w:b/>
                <w:i/>
                <w:sz w:val="18"/>
                <w:szCs w:val="18"/>
              </w:rPr>
              <w:t>Granelli</w:t>
            </w:r>
            <w:proofErr w:type="spellEnd"/>
            <w:r w:rsidRPr="000A7465">
              <w:rPr>
                <w:rFonts w:ascii="Times New Roman" w:hAnsi="Times New Roman" w:cs="Times New Roman"/>
                <w:b/>
                <w:i/>
                <w:sz w:val="18"/>
                <w:szCs w:val="18"/>
              </w:rPr>
              <w:t xml:space="preserve"> 2015</w:t>
            </w:r>
            <w:r w:rsidR="0014011D" w:rsidRPr="000A7465">
              <w:rPr>
                <w:rFonts w:ascii="Times New Roman" w:hAnsi="Times New Roman" w:cs="Times New Roman"/>
                <w:b/>
                <w:i/>
                <w:sz w:val="18"/>
                <w:szCs w:val="18"/>
              </w:rPr>
              <w:fldChar w:fldCharType="begin"/>
            </w:r>
            <w:r w:rsidR="009D18FB" w:rsidRPr="000A7465">
              <w:rPr>
                <w:rFonts w:ascii="Times New Roman" w:hAnsi="Times New Roman" w:cs="Times New Roman"/>
                <w:b/>
                <w:i/>
                <w:sz w:val="18"/>
                <w:szCs w:val="18"/>
              </w:rPr>
              <w:instrText>ADDIN F1000_CSL_CITATION&lt;~#@#~&gt;[{"DOI":"10.1177/0363546515602009","First":false,"Last":false,"PMCID":"PMC4839291","PMID":"26378030","abstract":"&lt;strong&gt;BACKGROUND:&lt;/strong&gt; The Fédération Internationale de Football Association (FIFA) 11+ program has been shown to be an effective injury prevention program in the female soccer cohort, but there is a paucity of research to demonstrate its efficacy in the male population.&lt;br&gt;&lt;br&gt;&lt;strong&gt;HYPOTHESIS:&lt;/strong&gt; To examine the efficacy of the FIFA 11+ program in men's collegiate United States National Collegiate Athletic Association (NCAA) Division I and Division II soccer.&lt;br&gt;&lt;br&gt;&lt;strong&gt;STUDY DESIGN:&lt;/strong&gt; Randomized controlled trial; Level of evidence, 1.&lt;br&gt;&lt;br&gt;&lt;strong&gt;METHODS:&lt;/strong&gt; Before the commencement of the fall 2012 season, every NCAA Division I and Division II men's collegiate soccer team (N = 396) was solicited to participate in this research study. Human ethics review board approval was obtained through Quorum Review IRB. Sixty-five teams were randomized: 34 to the control group (CG; 850 players) and 31 to the intervention group (IG; 675 players). Four teams in the IG did not complete the study, reducing the number for analysis to 61. The FIFA 11+ injury prevention program served as the intervention and was utilized weekly. Athlete-exposures (AEs), compliance, and injury data were recorded using a secure Internet-based system.&lt;br&gt;&lt;br&gt;&lt;strong&gt;RESULTS:&lt;/strong&gt; In the CG, 665 injuries (mean ± SD, 19.56 ± 11.01) were reported for 34 teams, which corresponded to an incidence rate (IR) of 15.04 injuries per 1000 AEs. In the IG, 285 injuries (mean ± SD, 10.56 ± 3.64) were reported for 27 teams, which corresponded to an IR of 8.09 injuries per 1000 AEs. Total days missed because of injury were significantly higher for the CG (mean ± SD, 13.20 ± 26.6 days) than for the IG (mean ± SD, 10.08 ± 14.68 days) (P = .007). There was no difference for time loss due to injury based on field type (P = .341).&lt;br&gt;&lt;br&gt;&lt;strong&gt;CONCLUSION:&lt;/strong&gt; The FIFA 11+ significantly reduced injury rates by 46.1% and decreased time loss to injury by 28.6% in the competitive male collegiate soccer player (rate ratio, 0.54 [95% CI, 0.49-0.59]; P &lt;  .0001) (number needed to treat = 2.64).&lt;br&gt;&lt;br&gt;© 2015 The Author(s).","author":[{"family":"Silvers-Granelli","given":"Holly"},{"family":"Mandelbaum","given":"Bert"},{"family":"Adeniji","given":"Ola"},{"family":"Insler","given":"Stephanie"},{"family":"Bizzini","given":"Mario"},{"family":"Pohlig","given":"Ryan"},{"family":"Junge","given":"Astrid"},{"family":"Snyder-Mackler","given":"Lynn"},{"family":"Dvorak","given":"Jiri"}],"citation-label":"5824178","container-title":"The American Journal of Sports Medicine","container-title-short":"Am. J. Sports Med.","id":"5824178","invisible":false,"issue":"11","issued":{"date-parts":[["2015","11"]]},"journalAbbreviation":"Am. J. Sports Med.","page":"2628-2637","suppress-author":false,"title":"Efficacy of the FIFA 11+ injury prevention program in the collegiate male soccer player.","type":"article-journal","volume":"43"}]</w:instrText>
            </w:r>
            <w:r w:rsidR="0014011D" w:rsidRPr="000A7465">
              <w:rPr>
                <w:rFonts w:ascii="Times New Roman" w:hAnsi="Times New Roman" w:cs="Times New Roman"/>
                <w:b/>
                <w:i/>
                <w:sz w:val="18"/>
                <w:szCs w:val="18"/>
              </w:rPr>
              <w:fldChar w:fldCharType="separate"/>
            </w:r>
            <w:r w:rsidR="00502F90" w:rsidRPr="000A7465">
              <w:rPr>
                <w:rFonts w:ascii="Times New Roman" w:hAnsi="Times New Roman" w:cs="Times New Roman"/>
                <w:sz w:val="18"/>
                <w:szCs w:val="18"/>
                <w:vertAlign w:val="superscript"/>
              </w:rPr>
              <w:t>5</w:t>
            </w:r>
            <w:r w:rsidR="0014011D" w:rsidRPr="000A7465">
              <w:rPr>
                <w:rFonts w:ascii="Times New Roman" w:hAnsi="Times New Roman" w:cs="Times New Roman"/>
                <w:b/>
                <w:i/>
                <w:sz w:val="18"/>
                <w:szCs w:val="18"/>
              </w:rPr>
              <w:fldChar w:fldCharType="end"/>
            </w:r>
          </w:p>
        </w:tc>
      </w:tr>
      <w:tr w:rsidR="00DE2D3C" w:rsidRPr="000A7465" w14:paraId="7F954191" w14:textId="77777777" w:rsidTr="00B62AF5">
        <w:trPr>
          <w:gridBefore w:val="1"/>
          <w:gridAfter w:val="1"/>
          <w:wBefore w:w="365" w:type="dxa"/>
          <w:wAfter w:w="450" w:type="dxa"/>
          <w:trHeight w:val="4166"/>
        </w:trPr>
        <w:tc>
          <w:tcPr>
            <w:tcW w:w="1936" w:type="dxa"/>
          </w:tcPr>
          <w:p w14:paraId="36A3E48B" w14:textId="2A86D714" w:rsidR="00DE2D3C" w:rsidRPr="000A7465" w:rsidRDefault="00DE2D3C" w:rsidP="000F122F">
            <w:pPr>
              <w:rPr>
                <w:rFonts w:ascii="Times New Roman" w:hAnsi="Times New Roman" w:cs="Times New Roman"/>
                <w:sz w:val="18"/>
                <w:szCs w:val="18"/>
              </w:rPr>
            </w:pPr>
            <w:r w:rsidRPr="000A7465">
              <w:rPr>
                <w:rFonts w:ascii="Times New Roman" w:hAnsi="Times New Roman" w:cs="Times New Roman"/>
                <w:b/>
                <w:sz w:val="18"/>
                <w:szCs w:val="18"/>
              </w:rPr>
              <w:lastRenderedPageBreak/>
              <w:t>Author/Year</w:t>
            </w:r>
            <w:r w:rsidRPr="000A7465">
              <w:rPr>
                <w:rFonts w:ascii="Times New Roman" w:hAnsi="Times New Roman" w:cs="Times New Roman"/>
                <w:sz w:val="18"/>
                <w:szCs w:val="18"/>
              </w:rPr>
              <w:t xml:space="preserve">: </w:t>
            </w:r>
            <w:proofErr w:type="spellStart"/>
            <w:r w:rsidRPr="000A7465">
              <w:rPr>
                <w:rFonts w:ascii="Times New Roman" w:hAnsi="Times New Roman" w:cs="Times New Roman"/>
                <w:sz w:val="18"/>
                <w:szCs w:val="18"/>
              </w:rPr>
              <w:t>Soligard</w:t>
            </w:r>
            <w:proofErr w:type="spellEnd"/>
            <w:r w:rsidRPr="000A7465">
              <w:rPr>
                <w:rFonts w:ascii="Times New Roman" w:hAnsi="Times New Roman" w:cs="Times New Roman"/>
                <w:sz w:val="18"/>
                <w:szCs w:val="18"/>
              </w:rPr>
              <w:t xml:space="preserve"> et al (2010)</w:t>
            </w:r>
            <w:r w:rsidR="00FB3BF1" w:rsidRPr="000A7465">
              <w:rPr>
                <w:rFonts w:ascii="Times New Roman" w:hAnsi="Times New Roman" w:cs="Times New Roman"/>
                <w:sz w:val="18"/>
                <w:szCs w:val="18"/>
              </w:rPr>
              <w:fldChar w:fldCharType="begin"/>
            </w:r>
            <w:r w:rsidR="009D18FB" w:rsidRPr="000A7465">
              <w:rPr>
                <w:rFonts w:ascii="Times New Roman" w:hAnsi="Times New Roman" w:cs="Times New Roman"/>
                <w:sz w:val="18"/>
                <w:szCs w:val="18"/>
              </w:rPr>
              <w:instrText>ADDIN F1000_CSL_CITATION&lt;~#@#~&gt;[{"DOI":"10.1136/bjsm.2009.070672","First":false,"Last":false,"PMID":"20551159","abstract":"&lt;strong&gt;BACKGROUND:&lt;/strong&gt; Participants' compliance, attitudes and beliefs have the potential to influence the efficacy of an intervention greatly.&lt;br&gt;&lt;br&gt;&lt;strong&gt;OBJECTIVE:&lt;/strong&gt; To characterise team and player compliance with a comprehensive injury prevention warm-up programme for football (The 11+), and to assess attitudes towards injury prevention among coaches and their association with compliance and injury risk.&lt;br&gt;&lt;br&gt;&lt;strong&gt;STUDY DESIGN:&lt;/strong&gt; A prospective cohort study and retrospective survey based on a cluster-randomised controlled trial with teams as the unit of randomisation.&lt;br&gt;&lt;br&gt;&lt;strong&gt;METHODS:&lt;/strong&gt; Compliance, exposure and injuries were registered prospectively in 65 of 125 football teams (1055 of 1892 female Norwegian players aged 13-17 years and 65 of 125 coaches) throughout one football season (March-October 2007). Standardised telephone interviews were conducted to assess coaches' attitudes towards injury prevention.&lt;br&gt;&lt;br&gt;&lt;strong&gt;RESULTS:&lt;/strong&gt; Teams completed the injury prevention programme in 77% (mean 1.3 sessions per week) of all training and match sessions, and players in 79% (mean 0.8 sessions per week) of the sessions they attended. Compared with players with intermediate compliance, players with high compliance with the programme had a 35% lower risk of all injuries (RR 0.65, 95% CI 0.46 to 0.91, p=0.011). Coaches who had previously utilised injury prevention training coached teams with a 46% lower risk of injury (OR 0.54, 95% CI 0.33 to 0.87, p=0.011).&lt;br&gt;&lt;br&gt;&lt;strong&gt;CONCLUSIONS:&lt;/strong&gt; Compliance with the injury prevention programme was high, and players with high compliance had significantly lower injury risk than players with intermediate compliance. Positive attitudes towards injury prevention correlated with high compliance and lower injury risk.","author":[{"family":"Soligard","given":"Torbjørn"},{"family":"Nilstad","given":"Agnethe"},{"family":"Steffen","given":"Kathrin"},{"family":"Myklebust","given":"Grethe"},{"family":"Holme","given":"Ingar"},{"family":"Dvorak","given":"Jiri"},{"family":"Bahr","given":"Roald"},{"family":"Andersen","given":"Thor Einar"}],"citation-label":"6350866","container-title":"British Journal of Sports Medicine","container-title-short":"Br. J. Sports Med.","id":"6350866","invisible":false,"issue":"11","issued":{"date-parts":[["2010","9"]]},"journalAbbreviation":"Br. J. Sports Med.","page":"787-793","suppress-author":false,"title":"Compliance with a comprehensive warm-up programme to prevent injuries in youth football.","type":"article-journal","volume":"44"}]</w:instrText>
            </w:r>
            <w:r w:rsidR="00FB3BF1" w:rsidRPr="000A7465">
              <w:rPr>
                <w:rFonts w:ascii="Times New Roman" w:hAnsi="Times New Roman" w:cs="Times New Roman"/>
                <w:sz w:val="18"/>
                <w:szCs w:val="18"/>
              </w:rPr>
              <w:fldChar w:fldCharType="separate"/>
            </w:r>
            <w:r w:rsidR="00502F90" w:rsidRPr="000A7465">
              <w:rPr>
                <w:rFonts w:ascii="Times New Roman" w:hAnsi="Times New Roman" w:cs="Times New Roman"/>
                <w:sz w:val="18"/>
                <w:szCs w:val="18"/>
                <w:vertAlign w:val="superscript"/>
              </w:rPr>
              <w:t>8</w:t>
            </w:r>
            <w:r w:rsidR="00FB3BF1" w:rsidRPr="000A7465">
              <w:rPr>
                <w:rFonts w:ascii="Times New Roman" w:hAnsi="Times New Roman" w:cs="Times New Roman"/>
                <w:sz w:val="18"/>
                <w:szCs w:val="18"/>
              </w:rPr>
              <w:fldChar w:fldCharType="end"/>
            </w:r>
          </w:p>
          <w:p w14:paraId="488373CD" w14:textId="77777777" w:rsidR="00DE2D3C" w:rsidRPr="000A7465" w:rsidRDefault="00DE2D3C" w:rsidP="000F122F">
            <w:pPr>
              <w:rPr>
                <w:rFonts w:ascii="Times New Roman" w:hAnsi="Times New Roman" w:cs="Times New Roman"/>
                <w:sz w:val="18"/>
                <w:szCs w:val="18"/>
              </w:rPr>
            </w:pPr>
          </w:p>
          <w:p w14:paraId="75FE4800" w14:textId="77777777" w:rsidR="00DE2D3C" w:rsidRPr="000A7465" w:rsidRDefault="00DE2D3C" w:rsidP="000F122F">
            <w:pPr>
              <w:rPr>
                <w:rFonts w:ascii="Times New Roman" w:hAnsi="Times New Roman" w:cs="Times New Roman"/>
                <w:sz w:val="18"/>
                <w:szCs w:val="18"/>
              </w:rPr>
            </w:pPr>
            <w:r w:rsidRPr="000A7465">
              <w:rPr>
                <w:rFonts w:ascii="Times New Roman" w:hAnsi="Times New Roman" w:cs="Times New Roman"/>
                <w:b/>
                <w:sz w:val="18"/>
                <w:szCs w:val="18"/>
              </w:rPr>
              <w:t>Study Design</w:t>
            </w:r>
            <w:r w:rsidRPr="000A7465">
              <w:rPr>
                <w:rFonts w:ascii="Times New Roman" w:hAnsi="Times New Roman" w:cs="Times New Roman"/>
                <w:sz w:val="18"/>
                <w:szCs w:val="18"/>
              </w:rPr>
              <w:t>: cluster randomized controlled trial and retrospective survey</w:t>
            </w:r>
          </w:p>
          <w:p w14:paraId="371D219C" w14:textId="77777777" w:rsidR="00DE2D3C" w:rsidRPr="000A7465" w:rsidRDefault="00DE2D3C" w:rsidP="000F122F">
            <w:pPr>
              <w:rPr>
                <w:rFonts w:ascii="Times New Roman" w:hAnsi="Times New Roman" w:cs="Times New Roman"/>
                <w:sz w:val="18"/>
                <w:szCs w:val="18"/>
              </w:rPr>
            </w:pPr>
          </w:p>
          <w:p w14:paraId="739F3004" w14:textId="77777777" w:rsidR="00DE2D3C" w:rsidRPr="000A7465" w:rsidRDefault="00DE2D3C" w:rsidP="000F122F">
            <w:pPr>
              <w:rPr>
                <w:rFonts w:ascii="Times New Roman" w:hAnsi="Times New Roman" w:cs="Times New Roman"/>
                <w:sz w:val="18"/>
                <w:szCs w:val="18"/>
              </w:rPr>
            </w:pPr>
            <w:r w:rsidRPr="000A7465">
              <w:rPr>
                <w:rFonts w:ascii="Times New Roman" w:hAnsi="Times New Roman" w:cs="Times New Roman"/>
                <w:b/>
                <w:sz w:val="18"/>
                <w:szCs w:val="18"/>
              </w:rPr>
              <w:t>Level of evidence</w:t>
            </w:r>
            <w:r w:rsidRPr="000A7465">
              <w:rPr>
                <w:rFonts w:ascii="Times New Roman" w:hAnsi="Times New Roman" w:cs="Times New Roman"/>
                <w:sz w:val="18"/>
                <w:szCs w:val="18"/>
              </w:rPr>
              <w:t>: 2b</w:t>
            </w:r>
          </w:p>
          <w:p w14:paraId="3D01FB32" w14:textId="77777777" w:rsidR="00DE2D3C" w:rsidRPr="000A7465" w:rsidRDefault="00DE2D3C" w:rsidP="000F122F">
            <w:pPr>
              <w:rPr>
                <w:rFonts w:ascii="Times New Roman" w:hAnsi="Times New Roman" w:cs="Times New Roman"/>
                <w:sz w:val="18"/>
                <w:szCs w:val="18"/>
              </w:rPr>
            </w:pPr>
          </w:p>
          <w:p w14:paraId="100E7CD1" w14:textId="77777777" w:rsidR="00DE2D3C" w:rsidRPr="000A7465" w:rsidRDefault="00DE2D3C" w:rsidP="000F122F">
            <w:pPr>
              <w:rPr>
                <w:rFonts w:ascii="Times New Roman" w:hAnsi="Times New Roman" w:cs="Times New Roman"/>
                <w:sz w:val="18"/>
                <w:szCs w:val="18"/>
              </w:rPr>
            </w:pPr>
            <w:r w:rsidRPr="000A7465">
              <w:rPr>
                <w:rFonts w:ascii="Times New Roman" w:hAnsi="Times New Roman" w:cs="Times New Roman"/>
                <w:b/>
                <w:sz w:val="18"/>
                <w:szCs w:val="18"/>
              </w:rPr>
              <w:t>Risk of bias</w:t>
            </w:r>
            <w:r w:rsidRPr="000A7465">
              <w:rPr>
                <w:rFonts w:ascii="Times New Roman" w:hAnsi="Times New Roman" w:cs="Times New Roman"/>
                <w:sz w:val="18"/>
                <w:szCs w:val="18"/>
              </w:rPr>
              <w:t>: 6/10 (</w:t>
            </w:r>
            <w:proofErr w:type="spellStart"/>
            <w:r w:rsidRPr="000A7465">
              <w:rPr>
                <w:rFonts w:ascii="Times New Roman" w:hAnsi="Times New Roman" w:cs="Times New Roman"/>
                <w:sz w:val="18"/>
                <w:szCs w:val="18"/>
              </w:rPr>
              <w:t>PEDro</w:t>
            </w:r>
            <w:proofErr w:type="spellEnd"/>
            <w:r w:rsidRPr="000A7465">
              <w:rPr>
                <w:rFonts w:ascii="Times New Roman" w:hAnsi="Times New Roman" w:cs="Times New Roman"/>
                <w:sz w:val="18"/>
                <w:szCs w:val="18"/>
              </w:rPr>
              <w:t xml:space="preserve">) </w:t>
            </w:r>
          </w:p>
          <w:p w14:paraId="16D714A0" w14:textId="77777777" w:rsidR="00DE2D3C" w:rsidRPr="000A7465" w:rsidRDefault="00DE2D3C" w:rsidP="000F122F">
            <w:pPr>
              <w:rPr>
                <w:rFonts w:ascii="Times New Roman" w:hAnsi="Times New Roman" w:cs="Times New Roman"/>
                <w:sz w:val="18"/>
                <w:szCs w:val="18"/>
              </w:rPr>
            </w:pPr>
          </w:p>
          <w:p w14:paraId="5E73E2B8" w14:textId="543F0887" w:rsidR="00DE2D3C" w:rsidRPr="000A7465" w:rsidRDefault="00DE2D3C" w:rsidP="000F122F">
            <w:pPr>
              <w:rPr>
                <w:rFonts w:ascii="Times New Roman" w:hAnsi="Times New Roman" w:cs="Times New Roman"/>
                <w:b/>
                <w:sz w:val="18"/>
                <w:szCs w:val="18"/>
              </w:rPr>
            </w:pPr>
            <w:r w:rsidRPr="000A7465">
              <w:rPr>
                <w:rFonts w:ascii="Times New Roman" w:hAnsi="Times New Roman" w:cs="Times New Roman"/>
                <w:b/>
                <w:sz w:val="18"/>
                <w:szCs w:val="18"/>
              </w:rPr>
              <w:t>Aim</w:t>
            </w:r>
            <w:r w:rsidRPr="000A7465">
              <w:rPr>
                <w:rFonts w:ascii="Times New Roman" w:hAnsi="Times New Roman" w:cs="Times New Roman"/>
                <w:sz w:val="18"/>
                <w:szCs w:val="18"/>
              </w:rPr>
              <w:t xml:space="preserve">: determine attitudes towards injury prevention and impact on compliance and injury prevention. </w:t>
            </w:r>
          </w:p>
        </w:tc>
        <w:tc>
          <w:tcPr>
            <w:tcW w:w="4380" w:type="dxa"/>
          </w:tcPr>
          <w:p w14:paraId="11370B0C" w14:textId="19C2F607" w:rsidR="00DE2D3C" w:rsidRPr="000A7465" w:rsidRDefault="0014011D" w:rsidP="000F122F">
            <w:pPr>
              <w:rPr>
                <w:rFonts w:ascii="Times New Roman" w:hAnsi="Times New Roman" w:cs="Times New Roman"/>
                <w:b/>
                <w:sz w:val="18"/>
                <w:szCs w:val="18"/>
              </w:rPr>
            </w:pPr>
            <w:r w:rsidRPr="000A7465">
              <w:rPr>
                <w:rFonts w:ascii="Times New Roman" w:hAnsi="Times New Roman" w:cs="Times New Roman"/>
                <w:b/>
                <w:i/>
                <w:sz w:val="18"/>
                <w:szCs w:val="18"/>
              </w:rPr>
              <w:t xml:space="preserve">~Same sample and design as outlined in </w:t>
            </w:r>
            <w:proofErr w:type="spellStart"/>
            <w:r w:rsidRPr="000A7465">
              <w:rPr>
                <w:rFonts w:ascii="Times New Roman" w:hAnsi="Times New Roman" w:cs="Times New Roman"/>
                <w:b/>
                <w:i/>
                <w:sz w:val="18"/>
                <w:szCs w:val="18"/>
              </w:rPr>
              <w:t>Soligard</w:t>
            </w:r>
            <w:proofErr w:type="spellEnd"/>
            <w:r w:rsidRPr="000A7465">
              <w:rPr>
                <w:rFonts w:ascii="Times New Roman" w:hAnsi="Times New Roman" w:cs="Times New Roman"/>
                <w:b/>
                <w:i/>
                <w:sz w:val="18"/>
                <w:szCs w:val="18"/>
              </w:rPr>
              <w:t xml:space="preserve"> 2008</w:t>
            </w:r>
            <w:r w:rsidR="005619F9" w:rsidRPr="000A7465">
              <w:rPr>
                <w:rFonts w:ascii="Times New Roman" w:hAnsi="Times New Roman" w:cs="Times New Roman"/>
                <w:sz w:val="18"/>
                <w:szCs w:val="18"/>
              </w:rPr>
              <w:fldChar w:fldCharType="begin"/>
            </w:r>
            <w:r w:rsidR="009D18FB" w:rsidRPr="000A7465">
              <w:rPr>
                <w:rFonts w:ascii="Times New Roman" w:hAnsi="Times New Roman" w:cs="Times New Roman"/>
                <w:sz w:val="18"/>
                <w:szCs w:val="18"/>
              </w:rPr>
              <w:instrText>ADDIN F1000_CSL_CITATION&lt;~#@#~&gt;[{"DOI":"10.1136/bmj.a2469","First":false,"Last":false,"PMCID":"PMC2600961","PMID":"19066253","abstract":"&lt;strong&gt;OBJECTIVE:&lt;/strong&gt; To examine the effect of a comprehensive warm-up programme designed to reduce the risk of injuries in female youth football.&lt;br&gt;&lt;br&gt;&lt;strong&gt;DESIGN:&lt;/strong&gt; Cluster randomised controlled trial with clubs as the unit of randomisation.&lt;br&gt;&lt;br&gt;&lt;strong&gt;SETTING:&lt;/strong&gt; 125 football clubs from the south, east, and middle of Norway (65 clusters in the intervention group; 60 in the control group) followed for one league season (eight months).&lt;br&gt;&lt;br&gt;&lt;strong&gt;PARTICIPANTS:&lt;/strong&gt; 1892 female players aged 13-17 (1055 players in the intervention group; 837 players in the control group).&lt;br&gt;&lt;br&gt;&lt;strong&gt;INTERVENTION:&lt;/strong&gt; A comprehensive warm-up programme to improve strength, awareness, and neuromuscular control during static and dynamic movements.&lt;br&gt;&lt;br&gt;&lt;strong&gt;MAIN OUTCOME MEASURE:&lt;/strong&gt; Injuries to the lower extremity (foot, ankle, lower leg, knee, thigh, groin, and hip).&lt;br&gt;&lt;br&gt;&lt;strong&gt;RESULTS:&lt;/strong&gt; During one season, 264 players had relevant injuries: 121 players in the intervention group and 143 in the control group (rate ratio 0.71, 95% confidence interval 0.49 to 1.03). In the intervention group there was a significantly lower risk of injuries overall (0.68, 0.48 to 0.98), overuse injuries (0.47, 0.26 to 0.85), and severe injuries (0.55, 0.36 to 0.83).&lt;br&gt;&lt;br&gt;&lt;strong&gt;CONCLUSION:&lt;/strong&gt; Though the primary outcome of reduction in lower extremity injury did not reach significance, the risk of severe injuries, overuse injuries, and injuries overall was reduced. This indicates that a structured warm-up programme can prevent injuries in young female football players.&lt;br&gt;&lt;br&gt;&lt;strong&gt;TRIAL REGISTRATION:&lt;/strong&gt; ISRCTN10306290.","author":[{"family":"Soligard","given":"Torbjørn"},{"family":"Myklebust","given":"Grethe"},{"family":"Steffen","given":"Kathrin"},{"family":"Holme","given":"Ingar"},{"family":"Silvers","given":"Holly"},{"family":"Bizzini","given":"Mario"},{"family":"Junge","given":"Astrid"},{"family":"Dvorak","given":"Jiri"},{"family":"Bahr","given":"Roald"},{"family":"Andersen","given":"Thor Einar"}],"citation-label":"2595882","container-title":"BMJ (Clinical Research Ed.)","container-title-short":"BMJ","id":"2595882","invisible":false,"issued":{"date-parts":[["2008","12","9"]]},"journalAbbreviation":"BMJ","page":"a2469","suppress-author":false,"title":"Comprehensive warm-up programme to prevent injuries in young female footballers: cluster randomised controlled trial.","type":"article-journal","volume":"337"}]</w:instrText>
            </w:r>
            <w:r w:rsidR="005619F9" w:rsidRPr="000A7465">
              <w:rPr>
                <w:rFonts w:ascii="Times New Roman" w:hAnsi="Times New Roman" w:cs="Times New Roman"/>
                <w:sz w:val="18"/>
                <w:szCs w:val="18"/>
              </w:rPr>
              <w:fldChar w:fldCharType="separate"/>
            </w:r>
            <w:r w:rsidR="00502F90" w:rsidRPr="000A7465">
              <w:rPr>
                <w:rFonts w:ascii="Times New Roman" w:hAnsi="Times New Roman" w:cs="Times New Roman"/>
                <w:noProof/>
                <w:sz w:val="18"/>
                <w:szCs w:val="18"/>
                <w:vertAlign w:val="superscript"/>
              </w:rPr>
              <w:t>1</w:t>
            </w:r>
            <w:r w:rsidR="005619F9" w:rsidRPr="000A7465">
              <w:rPr>
                <w:rFonts w:ascii="Times New Roman" w:hAnsi="Times New Roman" w:cs="Times New Roman"/>
                <w:sz w:val="18"/>
                <w:szCs w:val="18"/>
              </w:rPr>
              <w:fldChar w:fldCharType="end"/>
            </w:r>
            <w:r w:rsidR="005619F9" w:rsidRPr="000A7465">
              <w:rPr>
                <w:rFonts w:ascii="Times New Roman" w:hAnsi="Times New Roman" w:cs="Times New Roman"/>
                <w:sz w:val="18"/>
                <w:szCs w:val="18"/>
              </w:rPr>
              <w:t xml:space="preserve"> (see above) with additional follow up survey for the intervention group </w:t>
            </w:r>
          </w:p>
          <w:p w14:paraId="3E68FFD9" w14:textId="77777777" w:rsidR="00DE2D3C" w:rsidRPr="000A7465" w:rsidRDefault="00DE2D3C" w:rsidP="000F122F">
            <w:pPr>
              <w:rPr>
                <w:rFonts w:ascii="Times New Roman" w:hAnsi="Times New Roman" w:cs="Times New Roman"/>
                <w:b/>
                <w:sz w:val="18"/>
                <w:szCs w:val="18"/>
              </w:rPr>
            </w:pPr>
          </w:p>
          <w:p w14:paraId="5D2BFBE6" w14:textId="77777777" w:rsidR="00DE2D3C" w:rsidRPr="000A7465" w:rsidRDefault="00DE2D3C" w:rsidP="000F122F">
            <w:pPr>
              <w:rPr>
                <w:rFonts w:ascii="Times New Roman" w:hAnsi="Times New Roman" w:cs="Times New Roman"/>
                <w:sz w:val="18"/>
                <w:szCs w:val="18"/>
              </w:rPr>
            </w:pPr>
            <w:r w:rsidRPr="000A7465">
              <w:rPr>
                <w:rFonts w:ascii="Times New Roman" w:hAnsi="Times New Roman" w:cs="Times New Roman"/>
                <w:b/>
                <w:sz w:val="18"/>
                <w:szCs w:val="18"/>
              </w:rPr>
              <w:t>Survey Follow-up</w:t>
            </w:r>
            <w:r w:rsidRPr="000A7465">
              <w:rPr>
                <w:rFonts w:ascii="Times New Roman" w:hAnsi="Times New Roman" w:cs="Times New Roman"/>
                <w:sz w:val="18"/>
                <w:szCs w:val="18"/>
              </w:rPr>
              <w:t xml:space="preserve">: </w:t>
            </w:r>
          </w:p>
          <w:p w14:paraId="7B6B9F1C" w14:textId="77777777" w:rsidR="00DE2D3C" w:rsidRPr="000A7465" w:rsidRDefault="00DE2D3C" w:rsidP="000F122F">
            <w:pPr>
              <w:pStyle w:val="ListParagraph"/>
              <w:numPr>
                <w:ilvl w:val="0"/>
                <w:numId w:val="2"/>
              </w:numPr>
              <w:rPr>
                <w:rFonts w:ascii="Times New Roman" w:hAnsi="Times New Roman" w:cs="Times New Roman"/>
                <w:sz w:val="18"/>
                <w:szCs w:val="18"/>
              </w:rPr>
            </w:pPr>
            <w:r w:rsidRPr="000A7465">
              <w:rPr>
                <w:rFonts w:ascii="Times New Roman" w:hAnsi="Times New Roman" w:cs="Times New Roman"/>
                <w:sz w:val="18"/>
                <w:szCs w:val="18"/>
              </w:rPr>
              <w:t>Coaches in the intervention group were contacted to complete an evaluation form regarding attitudes and beliefs about injury prevention.</w:t>
            </w:r>
          </w:p>
          <w:p w14:paraId="6AC3FF56" w14:textId="03FB53B1" w:rsidR="00DE2D3C" w:rsidRPr="000A7465" w:rsidRDefault="00DE2D3C" w:rsidP="000F122F">
            <w:pPr>
              <w:pStyle w:val="ListParagraph"/>
              <w:numPr>
                <w:ilvl w:val="0"/>
                <w:numId w:val="2"/>
              </w:numPr>
              <w:rPr>
                <w:rFonts w:ascii="Times New Roman" w:hAnsi="Times New Roman" w:cs="Times New Roman"/>
                <w:sz w:val="18"/>
                <w:szCs w:val="18"/>
              </w:rPr>
            </w:pPr>
            <w:r w:rsidRPr="000A7465">
              <w:rPr>
                <w:rFonts w:ascii="Times New Roman" w:hAnsi="Times New Roman" w:cs="Times New Roman"/>
                <w:sz w:val="18"/>
                <w:szCs w:val="18"/>
              </w:rPr>
              <w:t>56 coaches complete</w:t>
            </w:r>
            <w:r w:rsidR="00FB3BF1" w:rsidRPr="000A7465">
              <w:rPr>
                <w:rFonts w:ascii="Times New Roman" w:hAnsi="Times New Roman" w:cs="Times New Roman"/>
                <w:sz w:val="18"/>
                <w:szCs w:val="18"/>
              </w:rPr>
              <w:t>d</w:t>
            </w:r>
            <w:r w:rsidRPr="000A7465">
              <w:rPr>
                <w:rFonts w:ascii="Times New Roman" w:hAnsi="Times New Roman" w:cs="Times New Roman"/>
                <w:sz w:val="18"/>
                <w:szCs w:val="18"/>
              </w:rPr>
              <w:t xml:space="preserve"> the survey, 50 completed the </w:t>
            </w:r>
            <w:proofErr w:type="spellStart"/>
            <w:r w:rsidR="00FB3BF1" w:rsidRPr="000A7465">
              <w:rPr>
                <w:rFonts w:ascii="Times New Roman" w:hAnsi="Times New Roman" w:cs="Times New Roman"/>
                <w:sz w:val="18"/>
                <w:szCs w:val="18"/>
              </w:rPr>
              <w:t>Soligard</w:t>
            </w:r>
            <w:proofErr w:type="spellEnd"/>
            <w:r w:rsidR="00FB3BF1" w:rsidRPr="000A7465">
              <w:rPr>
                <w:rFonts w:ascii="Times New Roman" w:hAnsi="Times New Roman" w:cs="Times New Roman"/>
                <w:sz w:val="18"/>
                <w:szCs w:val="18"/>
              </w:rPr>
              <w:t xml:space="preserve"> 2008</w:t>
            </w:r>
            <w:r w:rsidR="00FB3BF1" w:rsidRPr="000A7465">
              <w:rPr>
                <w:rFonts w:ascii="Times New Roman" w:hAnsi="Times New Roman" w:cs="Times New Roman"/>
                <w:sz w:val="18"/>
                <w:szCs w:val="18"/>
              </w:rPr>
              <w:fldChar w:fldCharType="begin"/>
            </w:r>
            <w:r w:rsidR="009D18FB" w:rsidRPr="000A7465">
              <w:rPr>
                <w:rFonts w:ascii="Times New Roman" w:hAnsi="Times New Roman" w:cs="Times New Roman"/>
                <w:sz w:val="18"/>
                <w:szCs w:val="18"/>
              </w:rPr>
              <w:instrText>ADDIN F1000_CSL_CITATION&lt;~#@#~&gt;[{"DOI":"10.1136/bmj.a2469","First":false,"Last":false,"PMCID":"PMC2600961","PMID":"19066253","abstract":"&lt;strong&gt;OBJECTIVE:&lt;/strong&gt; To examine the effect of a comprehensive warm-up programme designed to reduce the risk of injuries in female youth football.&lt;br&gt;&lt;br&gt;&lt;strong&gt;DESIGN:&lt;/strong&gt; Cluster randomised controlled trial with clubs as the unit of randomisation.&lt;br&gt;&lt;br&gt;&lt;strong&gt;SETTING:&lt;/strong&gt; 125 football clubs from the south, east, and middle of Norway (65 clusters in the intervention group; 60 in the control group) followed for one league season (eight months).&lt;br&gt;&lt;br&gt;&lt;strong&gt;PARTICIPANTS:&lt;/strong&gt; 1892 female players aged 13-17 (1055 players in the intervention group; 837 players in the control group).&lt;br&gt;&lt;br&gt;&lt;strong&gt;INTERVENTION:&lt;/strong&gt; A comprehensive warm-up programme to improve strength, awareness, and neuromuscular control during static and dynamic movements.&lt;br&gt;&lt;br&gt;&lt;strong&gt;MAIN OUTCOME MEASURE:&lt;/strong&gt; Injuries to the lower extremity (foot, ankle, lower leg, knee, thigh, groin, and hip).&lt;br&gt;&lt;br&gt;&lt;strong&gt;RESULTS:&lt;/strong&gt; During one season, 264 players had relevant injuries: 121 players in the intervention group and 143 in the control group (rate ratio 0.71, 95% confidence interval 0.49 to 1.03). In the intervention group there was a significantly lower risk of injuries overall (0.68, 0.48 to 0.98), overuse injuries (0.47, 0.26 to 0.85), and severe injuries (0.55, 0.36 to 0.83).&lt;br&gt;&lt;br&gt;&lt;strong&gt;CONCLUSION:&lt;/strong&gt; Though the primary outcome of reduction in lower extremity injury did not reach significance, the risk of severe injuries, overuse injuries, and injuries overall was reduced. This indicates that a structured warm-up programme can prevent injuries in young female football players.&lt;br&gt;&lt;br&gt;&lt;strong&gt;TRIAL REGISTRATION:&lt;/strong&gt; ISRCTN10306290.","author":[{"family":"Soligard","given":"Torbjørn"},{"family":"Myklebust","given":"Grethe"},{"family":"Steffen","given":"Kathrin"},{"family":"Holme","given":"Ingar"},{"family":"Silvers","given":"Holly"},{"family":"Bizzini","given":"Mario"},{"family":"Junge","given":"Astrid"},{"family":"Dvorak","given":"Jiri"},{"family":"Bahr","given":"Roald"},{"family":"Andersen","given":"Thor Einar"}],"citation-label":"2595882","container-title":"BMJ (Clinical Research Ed.)","container-title-short":"BMJ","id":"2595882","invisible":false,"issued":{"date-parts":[["2008","12","9"]]},"journalAbbreviation":"BMJ","page":"a2469","suppress-author":false,"title":"Comprehensive warm-up programme to prevent injuries in young female footballers: cluster randomised controlled trial.","type":"article-journal","volume":"337"}]</w:instrText>
            </w:r>
            <w:r w:rsidR="00FB3BF1" w:rsidRPr="000A7465">
              <w:rPr>
                <w:rFonts w:ascii="Times New Roman" w:hAnsi="Times New Roman" w:cs="Times New Roman"/>
                <w:sz w:val="18"/>
                <w:szCs w:val="18"/>
              </w:rPr>
              <w:fldChar w:fldCharType="separate"/>
            </w:r>
            <w:r w:rsidR="00502F90" w:rsidRPr="000A7465">
              <w:rPr>
                <w:rFonts w:ascii="Times New Roman" w:hAnsi="Times New Roman" w:cs="Times New Roman"/>
                <w:noProof/>
                <w:sz w:val="18"/>
                <w:szCs w:val="18"/>
                <w:vertAlign w:val="superscript"/>
              </w:rPr>
              <w:t>1</w:t>
            </w:r>
            <w:r w:rsidR="00FB3BF1" w:rsidRPr="000A7465">
              <w:rPr>
                <w:rFonts w:ascii="Times New Roman" w:hAnsi="Times New Roman" w:cs="Times New Roman"/>
                <w:sz w:val="18"/>
                <w:szCs w:val="18"/>
              </w:rPr>
              <w:fldChar w:fldCharType="end"/>
            </w:r>
            <w:r w:rsidR="00FB3BF1" w:rsidRPr="000A7465">
              <w:rPr>
                <w:rFonts w:ascii="Times New Roman" w:hAnsi="Times New Roman" w:cs="Times New Roman"/>
                <w:sz w:val="18"/>
                <w:szCs w:val="18"/>
              </w:rPr>
              <w:t xml:space="preserve"> </w:t>
            </w:r>
            <w:r w:rsidRPr="000A7465">
              <w:rPr>
                <w:rFonts w:ascii="Times New Roman" w:hAnsi="Times New Roman" w:cs="Times New Roman"/>
                <w:sz w:val="18"/>
                <w:szCs w:val="18"/>
              </w:rPr>
              <w:t xml:space="preserve">study and 6 of whom had dropped out during the season </w:t>
            </w:r>
          </w:p>
          <w:p w14:paraId="7C278458" w14:textId="77777777" w:rsidR="00DE2D3C" w:rsidRPr="000A7465" w:rsidRDefault="00DE2D3C" w:rsidP="000F122F">
            <w:pPr>
              <w:rPr>
                <w:rFonts w:ascii="Times New Roman" w:hAnsi="Times New Roman" w:cs="Times New Roman"/>
                <w:sz w:val="18"/>
                <w:szCs w:val="18"/>
              </w:rPr>
            </w:pPr>
          </w:p>
          <w:p w14:paraId="130D18B6" w14:textId="77777777" w:rsidR="00DE2D3C" w:rsidRPr="000A7465" w:rsidRDefault="00DE2D3C" w:rsidP="000F122F">
            <w:pPr>
              <w:rPr>
                <w:rFonts w:ascii="Times New Roman" w:hAnsi="Times New Roman" w:cs="Times New Roman"/>
                <w:b/>
                <w:sz w:val="18"/>
                <w:szCs w:val="18"/>
              </w:rPr>
            </w:pPr>
            <w:r w:rsidRPr="000A7465">
              <w:rPr>
                <w:rFonts w:ascii="Times New Roman" w:hAnsi="Times New Roman" w:cs="Times New Roman"/>
                <w:b/>
                <w:sz w:val="18"/>
                <w:szCs w:val="18"/>
              </w:rPr>
              <w:t xml:space="preserve">Primary Outcomes: </w:t>
            </w:r>
          </w:p>
          <w:p w14:paraId="7879B197" w14:textId="77777777" w:rsidR="00DE2D3C" w:rsidRPr="000A7465" w:rsidRDefault="00DE2D3C" w:rsidP="000F122F">
            <w:pPr>
              <w:pStyle w:val="ListParagraph"/>
              <w:numPr>
                <w:ilvl w:val="0"/>
                <w:numId w:val="2"/>
              </w:numPr>
              <w:rPr>
                <w:rFonts w:ascii="Times New Roman" w:hAnsi="Times New Roman" w:cs="Times New Roman"/>
                <w:sz w:val="18"/>
                <w:szCs w:val="18"/>
              </w:rPr>
            </w:pPr>
            <w:r w:rsidRPr="000A7465">
              <w:rPr>
                <w:rFonts w:ascii="Times New Roman" w:hAnsi="Times New Roman" w:cs="Times New Roman"/>
                <w:sz w:val="18"/>
                <w:szCs w:val="18"/>
              </w:rPr>
              <w:t>Compliance of teams and players</w:t>
            </w:r>
          </w:p>
          <w:p w14:paraId="6F9EE5E3" w14:textId="77777777" w:rsidR="00DE2D3C" w:rsidRPr="000A7465" w:rsidRDefault="00DE2D3C" w:rsidP="000F122F">
            <w:pPr>
              <w:pStyle w:val="ListParagraph"/>
              <w:numPr>
                <w:ilvl w:val="0"/>
                <w:numId w:val="2"/>
              </w:numPr>
              <w:rPr>
                <w:rFonts w:ascii="Times New Roman" w:hAnsi="Times New Roman" w:cs="Times New Roman"/>
                <w:sz w:val="18"/>
                <w:szCs w:val="18"/>
              </w:rPr>
            </w:pPr>
            <w:r w:rsidRPr="000A7465">
              <w:rPr>
                <w:rFonts w:ascii="Times New Roman" w:hAnsi="Times New Roman" w:cs="Times New Roman"/>
                <w:sz w:val="18"/>
                <w:szCs w:val="18"/>
              </w:rPr>
              <w:t xml:space="preserve">Compliance and injury risk </w:t>
            </w:r>
          </w:p>
          <w:p w14:paraId="3DE6355E" w14:textId="77777777" w:rsidR="00DE2D3C" w:rsidRPr="000A7465" w:rsidRDefault="00DE2D3C" w:rsidP="000F122F">
            <w:pPr>
              <w:pStyle w:val="ListParagraph"/>
              <w:numPr>
                <w:ilvl w:val="0"/>
                <w:numId w:val="2"/>
              </w:numPr>
              <w:rPr>
                <w:rFonts w:ascii="Times New Roman" w:hAnsi="Times New Roman" w:cs="Times New Roman"/>
                <w:sz w:val="18"/>
                <w:szCs w:val="18"/>
              </w:rPr>
            </w:pPr>
            <w:r w:rsidRPr="000A7465">
              <w:rPr>
                <w:rFonts w:ascii="Times New Roman" w:hAnsi="Times New Roman" w:cs="Times New Roman"/>
                <w:sz w:val="18"/>
                <w:szCs w:val="18"/>
              </w:rPr>
              <w:t>Coaches beliefs, compliance and injury risk</w:t>
            </w:r>
          </w:p>
          <w:p w14:paraId="1ECD8569" w14:textId="77777777" w:rsidR="00DE2D3C" w:rsidRPr="000A7465" w:rsidRDefault="00DE2D3C" w:rsidP="000F122F">
            <w:pPr>
              <w:rPr>
                <w:rFonts w:ascii="Times New Roman" w:hAnsi="Times New Roman" w:cs="Times New Roman"/>
                <w:b/>
                <w:sz w:val="18"/>
                <w:szCs w:val="18"/>
              </w:rPr>
            </w:pPr>
          </w:p>
        </w:tc>
        <w:tc>
          <w:tcPr>
            <w:tcW w:w="4584" w:type="dxa"/>
          </w:tcPr>
          <w:p w14:paraId="439A3363" w14:textId="77777777" w:rsidR="00DE2D3C" w:rsidRPr="000A7465" w:rsidRDefault="00DE2D3C" w:rsidP="000F122F">
            <w:pPr>
              <w:rPr>
                <w:rFonts w:ascii="Times New Roman" w:hAnsi="Times New Roman" w:cs="Times New Roman"/>
                <w:sz w:val="18"/>
                <w:szCs w:val="18"/>
              </w:rPr>
            </w:pPr>
            <w:r w:rsidRPr="000A7465">
              <w:rPr>
                <w:rFonts w:ascii="Times New Roman" w:hAnsi="Times New Roman" w:cs="Times New Roman"/>
                <w:b/>
                <w:sz w:val="18"/>
                <w:szCs w:val="18"/>
              </w:rPr>
              <w:t>Player and team compliance</w:t>
            </w:r>
            <w:r w:rsidRPr="000A7465">
              <w:rPr>
                <w:rFonts w:ascii="Times New Roman" w:hAnsi="Times New Roman" w:cs="Times New Roman"/>
                <w:sz w:val="18"/>
                <w:szCs w:val="18"/>
              </w:rPr>
              <w:t>:</w:t>
            </w:r>
          </w:p>
          <w:p w14:paraId="0DB22772" w14:textId="31CDA48E" w:rsidR="00DE2D3C" w:rsidRPr="000A7465" w:rsidRDefault="00FB3BF1" w:rsidP="000F122F">
            <w:pPr>
              <w:pStyle w:val="ListParagraph"/>
              <w:numPr>
                <w:ilvl w:val="0"/>
                <w:numId w:val="10"/>
              </w:numPr>
              <w:rPr>
                <w:rFonts w:ascii="Times New Roman" w:hAnsi="Times New Roman" w:cs="Times New Roman"/>
                <w:sz w:val="18"/>
                <w:szCs w:val="18"/>
              </w:rPr>
            </w:pPr>
            <w:r w:rsidRPr="000A7465">
              <w:rPr>
                <w:rFonts w:ascii="Times New Roman" w:hAnsi="Times New Roman" w:cs="Times New Roman"/>
                <w:sz w:val="18"/>
                <w:szCs w:val="18"/>
              </w:rPr>
              <w:t>Overall</w:t>
            </w:r>
            <w:r w:rsidR="00DE2D3C" w:rsidRPr="000A7465">
              <w:rPr>
                <w:rFonts w:ascii="Times New Roman" w:hAnsi="Times New Roman" w:cs="Times New Roman"/>
                <w:sz w:val="18"/>
                <w:szCs w:val="18"/>
              </w:rPr>
              <w:t xml:space="preserve"> average team compliance was 77% or 1.3sessions/week, and individual compliance was 0.8 sessions/week</w:t>
            </w:r>
          </w:p>
          <w:p w14:paraId="06A00906" w14:textId="77777777" w:rsidR="00DE2D3C" w:rsidRPr="000A7465" w:rsidRDefault="00DE2D3C" w:rsidP="000F122F">
            <w:pPr>
              <w:pStyle w:val="ListParagraph"/>
              <w:numPr>
                <w:ilvl w:val="0"/>
                <w:numId w:val="10"/>
              </w:numPr>
              <w:rPr>
                <w:rFonts w:ascii="Times New Roman" w:hAnsi="Times New Roman" w:cs="Times New Roman"/>
                <w:sz w:val="18"/>
                <w:szCs w:val="18"/>
              </w:rPr>
            </w:pPr>
            <w:r w:rsidRPr="000A7465">
              <w:rPr>
                <w:rFonts w:ascii="Times New Roman" w:hAnsi="Times New Roman" w:cs="Times New Roman"/>
                <w:sz w:val="18"/>
                <w:szCs w:val="18"/>
              </w:rPr>
              <w:t xml:space="preserve">Teams and players were stratified into </w:t>
            </w:r>
            <w:proofErr w:type="spellStart"/>
            <w:r w:rsidRPr="000A7465">
              <w:rPr>
                <w:rFonts w:ascii="Times New Roman" w:hAnsi="Times New Roman" w:cs="Times New Roman"/>
                <w:sz w:val="18"/>
                <w:szCs w:val="18"/>
              </w:rPr>
              <w:t>tertiles</w:t>
            </w:r>
            <w:proofErr w:type="spellEnd"/>
            <w:r w:rsidRPr="000A7465">
              <w:rPr>
                <w:rFonts w:ascii="Times New Roman" w:hAnsi="Times New Roman" w:cs="Times New Roman"/>
                <w:sz w:val="18"/>
                <w:szCs w:val="18"/>
              </w:rPr>
              <w:t xml:space="preserve"> based on based compliance</w:t>
            </w:r>
          </w:p>
          <w:p w14:paraId="4486DF08" w14:textId="77777777" w:rsidR="00DE2D3C" w:rsidRPr="000A7465" w:rsidRDefault="00DE2D3C" w:rsidP="000F122F">
            <w:pPr>
              <w:pStyle w:val="ListParagraph"/>
              <w:numPr>
                <w:ilvl w:val="0"/>
                <w:numId w:val="10"/>
              </w:numPr>
              <w:rPr>
                <w:rFonts w:ascii="Times New Roman" w:hAnsi="Times New Roman" w:cs="Times New Roman"/>
                <w:sz w:val="18"/>
                <w:szCs w:val="18"/>
              </w:rPr>
            </w:pPr>
            <w:r w:rsidRPr="000A7465">
              <w:rPr>
                <w:rFonts w:ascii="Times New Roman" w:hAnsi="Times New Roman" w:cs="Times New Roman"/>
                <w:sz w:val="18"/>
                <w:szCs w:val="18"/>
              </w:rPr>
              <w:t xml:space="preserve">High compliance: </w:t>
            </w:r>
          </w:p>
          <w:p w14:paraId="0527040F" w14:textId="652279A2" w:rsidR="00DE2D3C" w:rsidRPr="000A7465" w:rsidRDefault="00DE2D3C" w:rsidP="000F122F">
            <w:pPr>
              <w:pStyle w:val="ListParagraph"/>
              <w:numPr>
                <w:ilvl w:val="1"/>
                <w:numId w:val="10"/>
              </w:numPr>
              <w:rPr>
                <w:rFonts w:ascii="Times New Roman" w:hAnsi="Times New Roman" w:cs="Times New Roman"/>
                <w:sz w:val="18"/>
                <w:szCs w:val="18"/>
              </w:rPr>
            </w:pPr>
            <w:r w:rsidRPr="000A7465">
              <w:rPr>
                <w:rFonts w:ascii="Times New Roman" w:hAnsi="Times New Roman" w:cs="Times New Roman"/>
                <w:sz w:val="18"/>
                <w:szCs w:val="18"/>
              </w:rPr>
              <w:t>Teams: 68.6±14.8</w:t>
            </w:r>
            <w:r w:rsidR="00FB3BF1" w:rsidRPr="000A7465">
              <w:rPr>
                <w:rFonts w:ascii="Times New Roman" w:hAnsi="Times New Roman" w:cs="Times New Roman"/>
                <w:sz w:val="18"/>
                <w:szCs w:val="18"/>
              </w:rPr>
              <w:t xml:space="preserve"> sessions/season</w:t>
            </w:r>
          </w:p>
          <w:p w14:paraId="44D3783C" w14:textId="254AC27F" w:rsidR="00DE2D3C" w:rsidRPr="000A7465" w:rsidRDefault="00DE2D3C" w:rsidP="000F122F">
            <w:pPr>
              <w:pStyle w:val="ListParagraph"/>
              <w:numPr>
                <w:ilvl w:val="1"/>
                <w:numId w:val="10"/>
              </w:numPr>
              <w:rPr>
                <w:rFonts w:ascii="Times New Roman" w:hAnsi="Times New Roman" w:cs="Times New Roman"/>
                <w:sz w:val="18"/>
                <w:szCs w:val="18"/>
              </w:rPr>
            </w:pPr>
            <w:r w:rsidRPr="000A7465">
              <w:rPr>
                <w:rFonts w:ascii="Times New Roman" w:hAnsi="Times New Roman" w:cs="Times New Roman"/>
                <w:sz w:val="18"/>
                <w:szCs w:val="18"/>
              </w:rPr>
              <w:t>Players: 49.2±13.9 sessions</w:t>
            </w:r>
            <w:r w:rsidR="00FB3BF1" w:rsidRPr="000A7465">
              <w:rPr>
                <w:rFonts w:ascii="Times New Roman" w:hAnsi="Times New Roman" w:cs="Times New Roman"/>
                <w:sz w:val="18"/>
                <w:szCs w:val="18"/>
              </w:rPr>
              <w:t>/season</w:t>
            </w:r>
            <w:r w:rsidRPr="000A7465">
              <w:rPr>
                <w:rFonts w:ascii="Times New Roman" w:hAnsi="Times New Roman" w:cs="Times New Roman"/>
                <w:sz w:val="18"/>
                <w:szCs w:val="18"/>
              </w:rPr>
              <w:t>, 1.5 sessions</w:t>
            </w:r>
            <w:r w:rsidR="00FB3BF1" w:rsidRPr="000A7465">
              <w:rPr>
                <w:rFonts w:ascii="Times New Roman" w:hAnsi="Times New Roman" w:cs="Times New Roman"/>
                <w:sz w:val="18"/>
                <w:szCs w:val="18"/>
              </w:rPr>
              <w:t>/</w:t>
            </w:r>
            <w:r w:rsidRPr="000A7465">
              <w:rPr>
                <w:rFonts w:ascii="Times New Roman" w:hAnsi="Times New Roman" w:cs="Times New Roman"/>
                <w:sz w:val="18"/>
                <w:szCs w:val="18"/>
              </w:rPr>
              <w:t xml:space="preserve">week </w:t>
            </w:r>
          </w:p>
          <w:p w14:paraId="7FB865E4" w14:textId="77777777" w:rsidR="00DE2D3C" w:rsidRPr="000A7465" w:rsidRDefault="00DE2D3C" w:rsidP="000F122F">
            <w:pPr>
              <w:pStyle w:val="ListParagraph"/>
              <w:numPr>
                <w:ilvl w:val="0"/>
                <w:numId w:val="10"/>
              </w:numPr>
              <w:rPr>
                <w:rFonts w:ascii="Times New Roman" w:hAnsi="Times New Roman" w:cs="Times New Roman"/>
                <w:sz w:val="18"/>
                <w:szCs w:val="18"/>
              </w:rPr>
            </w:pPr>
            <w:r w:rsidRPr="000A7465">
              <w:rPr>
                <w:rFonts w:ascii="Times New Roman" w:hAnsi="Times New Roman" w:cs="Times New Roman"/>
                <w:sz w:val="18"/>
                <w:szCs w:val="18"/>
              </w:rPr>
              <w:t xml:space="preserve">Intermediate compliance: </w:t>
            </w:r>
          </w:p>
          <w:p w14:paraId="6029E2B3" w14:textId="685BD016" w:rsidR="00DE2D3C" w:rsidRPr="000A7465" w:rsidRDefault="00FB3BF1" w:rsidP="000F122F">
            <w:pPr>
              <w:pStyle w:val="ListParagraph"/>
              <w:numPr>
                <w:ilvl w:val="1"/>
                <w:numId w:val="10"/>
              </w:numPr>
              <w:rPr>
                <w:rFonts w:ascii="Times New Roman" w:hAnsi="Times New Roman" w:cs="Times New Roman"/>
                <w:sz w:val="18"/>
                <w:szCs w:val="18"/>
              </w:rPr>
            </w:pPr>
            <w:r w:rsidRPr="000A7465">
              <w:rPr>
                <w:rFonts w:ascii="Times New Roman" w:hAnsi="Times New Roman" w:cs="Times New Roman"/>
                <w:sz w:val="18"/>
                <w:szCs w:val="18"/>
              </w:rPr>
              <w:t xml:space="preserve">Teams: </w:t>
            </w:r>
            <w:r w:rsidR="00DE2D3C" w:rsidRPr="000A7465">
              <w:rPr>
                <w:rFonts w:ascii="Times New Roman" w:hAnsi="Times New Roman" w:cs="Times New Roman"/>
                <w:sz w:val="18"/>
                <w:szCs w:val="18"/>
              </w:rPr>
              <w:t>42.3±5.8 sessions</w:t>
            </w:r>
            <w:r w:rsidRPr="000A7465">
              <w:rPr>
                <w:rFonts w:ascii="Times New Roman" w:hAnsi="Times New Roman" w:cs="Times New Roman"/>
                <w:sz w:val="18"/>
                <w:szCs w:val="18"/>
              </w:rPr>
              <w:t>/season</w:t>
            </w:r>
          </w:p>
          <w:p w14:paraId="41EAC511" w14:textId="3110B0CF" w:rsidR="00DE2D3C" w:rsidRPr="000A7465" w:rsidRDefault="00FB3BF1" w:rsidP="000F122F">
            <w:pPr>
              <w:pStyle w:val="ListParagraph"/>
              <w:numPr>
                <w:ilvl w:val="1"/>
                <w:numId w:val="10"/>
              </w:numPr>
              <w:rPr>
                <w:rFonts w:ascii="Times New Roman" w:hAnsi="Times New Roman" w:cs="Times New Roman"/>
                <w:sz w:val="18"/>
                <w:szCs w:val="18"/>
              </w:rPr>
            </w:pPr>
            <w:r w:rsidRPr="000A7465">
              <w:rPr>
                <w:rFonts w:ascii="Times New Roman" w:hAnsi="Times New Roman" w:cs="Times New Roman"/>
                <w:sz w:val="18"/>
                <w:szCs w:val="18"/>
              </w:rPr>
              <w:t>Players:</w:t>
            </w:r>
            <w:r w:rsidR="00DE2D3C" w:rsidRPr="000A7465">
              <w:rPr>
                <w:rFonts w:ascii="Times New Roman" w:hAnsi="Times New Roman" w:cs="Times New Roman"/>
                <w:sz w:val="18"/>
                <w:szCs w:val="18"/>
              </w:rPr>
              <w:t xml:space="preserve"> 43.4±4.9 sessions</w:t>
            </w:r>
            <w:r w:rsidRPr="000A7465">
              <w:rPr>
                <w:rFonts w:ascii="Times New Roman" w:hAnsi="Times New Roman" w:cs="Times New Roman"/>
                <w:sz w:val="18"/>
                <w:szCs w:val="18"/>
              </w:rPr>
              <w:t>/season</w:t>
            </w:r>
            <w:r w:rsidR="00DE2D3C" w:rsidRPr="000A7465">
              <w:rPr>
                <w:rFonts w:ascii="Times New Roman" w:hAnsi="Times New Roman" w:cs="Times New Roman"/>
                <w:sz w:val="18"/>
                <w:szCs w:val="18"/>
              </w:rPr>
              <w:t>, 0.7 sessions</w:t>
            </w:r>
            <w:r w:rsidRPr="000A7465">
              <w:rPr>
                <w:rFonts w:ascii="Times New Roman" w:hAnsi="Times New Roman" w:cs="Times New Roman"/>
                <w:sz w:val="18"/>
                <w:szCs w:val="18"/>
              </w:rPr>
              <w:t>/</w:t>
            </w:r>
            <w:r w:rsidR="00DE2D3C" w:rsidRPr="000A7465">
              <w:rPr>
                <w:rFonts w:ascii="Times New Roman" w:hAnsi="Times New Roman" w:cs="Times New Roman"/>
                <w:sz w:val="18"/>
                <w:szCs w:val="18"/>
              </w:rPr>
              <w:t>week</w:t>
            </w:r>
          </w:p>
          <w:p w14:paraId="6697076C" w14:textId="77777777" w:rsidR="00DE2D3C" w:rsidRPr="000A7465" w:rsidRDefault="00DE2D3C" w:rsidP="000F122F">
            <w:pPr>
              <w:pStyle w:val="ListParagraph"/>
              <w:numPr>
                <w:ilvl w:val="0"/>
                <w:numId w:val="10"/>
              </w:numPr>
              <w:rPr>
                <w:rFonts w:ascii="Times New Roman" w:hAnsi="Times New Roman" w:cs="Times New Roman"/>
                <w:sz w:val="18"/>
                <w:szCs w:val="18"/>
              </w:rPr>
            </w:pPr>
            <w:r w:rsidRPr="000A7465">
              <w:rPr>
                <w:rFonts w:ascii="Times New Roman" w:hAnsi="Times New Roman" w:cs="Times New Roman"/>
                <w:sz w:val="18"/>
                <w:szCs w:val="18"/>
              </w:rPr>
              <w:t xml:space="preserve">Low compliance: </w:t>
            </w:r>
          </w:p>
          <w:p w14:paraId="4B04A9CD" w14:textId="69526D6A" w:rsidR="00DE2D3C" w:rsidRPr="000A7465" w:rsidRDefault="00FB3BF1" w:rsidP="000F122F">
            <w:pPr>
              <w:pStyle w:val="ListParagraph"/>
              <w:numPr>
                <w:ilvl w:val="1"/>
                <w:numId w:val="10"/>
              </w:numPr>
              <w:rPr>
                <w:rFonts w:ascii="Times New Roman" w:hAnsi="Times New Roman" w:cs="Times New Roman"/>
                <w:sz w:val="18"/>
                <w:szCs w:val="18"/>
              </w:rPr>
            </w:pPr>
            <w:r w:rsidRPr="000A7465">
              <w:rPr>
                <w:rFonts w:ascii="Times New Roman" w:hAnsi="Times New Roman" w:cs="Times New Roman"/>
                <w:sz w:val="18"/>
                <w:szCs w:val="18"/>
              </w:rPr>
              <w:t>Teams:</w:t>
            </w:r>
            <w:r w:rsidR="00DE2D3C" w:rsidRPr="000A7465">
              <w:rPr>
                <w:rFonts w:ascii="Times New Roman" w:hAnsi="Times New Roman" w:cs="Times New Roman"/>
                <w:sz w:val="18"/>
                <w:szCs w:val="18"/>
              </w:rPr>
              <w:t xml:space="preserve"> 20.6±5.6 sessions</w:t>
            </w:r>
            <w:r w:rsidRPr="000A7465">
              <w:rPr>
                <w:rFonts w:ascii="Times New Roman" w:hAnsi="Times New Roman" w:cs="Times New Roman"/>
                <w:sz w:val="18"/>
                <w:szCs w:val="18"/>
              </w:rPr>
              <w:t>/season</w:t>
            </w:r>
          </w:p>
          <w:p w14:paraId="0CF30913" w14:textId="1F5F962B" w:rsidR="00DE2D3C" w:rsidRPr="000A7465" w:rsidRDefault="00DE2D3C" w:rsidP="000F122F">
            <w:pPr>
              <w:pStyle w:val="ListParagraph"/>
              <w:numPr>
                <w:ilvl w:val="1"/>
                <w:numId w:val="10"/>
              </w:numPr>
              <w:rPr>
                <w:rFonts w:ascii="Times New Roman" w:hAnsi="Times New Roman" w:cs="Times New Roman"/>
                <w:sz w:val="18"/>
                <w:szCs w:val="18"/>
              </w:rPr>
            </w:pPr>
            <w:r w:rsidRPr="000A7465">
              <w:rPr>
                <w:rFonts w:ascii="Times New Roman" w:hAnsi="Times New Roman" w:cs="Times New Roman"/>
                <w:sz w:val="18"/>
                <w:szCs w:val="18"/>
              </w:rPr>
              <w:t xml:space="preserve">Players: </w:t>
            </w:r>
            <w:r w:rsidR="00FB3BF1" w:rsidRPr="000A7465">
              <w:rPr>
                <w:rFonts w:ascii="Times New Roman" w:hAnsi="Times New Roman" w:cs="Times New Roman"/>
                <w:sz w:val="18"/>
                <w:szCs w:val="18"/>
              </w:rPr>
              <w:t>7.7±4.7 sessions/season, 0.2 sessions/</w:t>
            </w:r>
            <w:r w:rsidRPr="000A7465">
              <w:rPr>
                <w:rFonts w:ascii="Times New Roman" w:hAnsi="Times New Roman" w:cs="Times New Roman"/>
                <w:sz w:val="18"/>
                <w:szCs w:val="18"/>
              </w:rPr>
              <w:t>week</w:t>
            </w:r>
          </w:p>
          <w:p w14:paraId="62AFCB15" w14:textId="57D8BC49" w:rsidR="00DE2D3C" w:rsidRPr="000A7465" w:rsidRDefault="00DE2D3C" w:rsidP="00FB3BF1">
            <w:pPr>
              <w:rPr>
                <w:rFonts w:ascii="Times New Roman" w:hAnsi="Times New Roman" w:cs="Times New Roman"/>
                <w:sz w:val="18"/>
                <w:szCs w:val="18"/>
              </w:rPr>
            </w:pPr>
            <w:r w:rsidRPr="000A7465">
              <w:rPr>
                <w:rFonts w:ascii="Times New Roman" w:hAnsi="Times New Roman" w:cs="Times New Roman"/>
                <w:sz w:val="18"/>
                <w:szCs w:val="18"/>
              </w:rPr>
              <w:t>*</w:t>
            </w:r>
            <w:r w:rsidR="00FB3BF1" w:rsidRPr="000A7465">
              <w:rPr>
                <w:rFonts w:ascii="Times New Roman" w:hAnsi="Times New Roman" w:cs="Times New Roman"/>
                <w:sz w:val="18"/>
                <w:szCs w:val="18"/>
              </w:rPr>
              <w:t xml:space="preserve">There was </w:t>
            </w:r>
            <w:r w:rsidRPr="000A7465">
              <w:rPr>
                <w:rFonts w:ascii="Times New Roman" w:hAnsi="Times New Roman" w:cs="Times New Roman"/>
                <w:sz w:val="18"/>
                <w:szCs w:val="18"/>
              </w:rPr>
              <w:t>greater compliance in the first half of the intervention period versus the second</w:t>
            </w:r>
            <w:r w:rsidR="00FB3BF1" w:rsidRPr="000A7465">
              <w:rPr>
                <w:rFonts w:ascii="Times New Roman" w:hAnsi="Times New Roman" w:cs="Times New Roman"/>
                <w:sz w:val="18"/>
                <w:szCs w:val="18"/>
              </w:rPr>
              <w:t xml:space="preserve"> half </w:t>
            </w:r>
          </w:p>
          <w:p w14:paraId="0D0ED2C7" w14:textId="77777777" w:rsidR="00DE2D3C" w:rsidRPr="000A7465" w:rsidRDefault="00DE2D3C" w:rsidP="000F122F">
            <w:pPr>
              <w:rPr>
                <w:rFonts w:ascii="Times New Roman" w:hAnsi="Times New Roman" w:cs="Times New Roman"/>
                <w:sz w:val="18"/>
                <w:szCs w:val="18"/>
              </w:rPr>
            </w:pPr>
            <w:r w:rsidRPr="000A7465">
              <w:rPr>
                <w:rFonts w:ascii="Times New Roman" w:hAnsi="Times New Roman" w:cs="Times New Roman"/>
                <w:b/>
                <w:sz w:val="18"/>
                <w:szCs w:val="18"/>
              </w:rPr>
              <w:t>Compliance and injury risk</w:t>
            </w:r>
            <w:r w:rsidRPr="000A7465">
              <w:rPr>
                <w:rFonts w:ascii="Times New Roman" w:hAnsi="Times New Roman" w:cs="Times New Roman"/>
                <w:sz w:val="18"/>
                <w:szCs w:val="18"/>
              </w:rPr>
              <w:t xml:space="preserve">: </w:t>
            </w:r>
          </w:p>
          <w:p w14:paraId="0CB8D039" w14:textId="77777777" w:rsidR="00DE2D3C" w:rsidRPr="000A7465" w:rsidRDefault="00DE2D3C" w:rsidP="000F122F">
            <w:pPr>
              <w:pStyle w:val="ListParagraph"/>
              <w:numPr>
                <w:ilvl w:val="0"/>
                <w:numId w:val="10"/>
              </w:numPr>
              <w:rPr>
                <w:rFonts w:ascii="Times New Roman" w:hAnsi="Times New Roman" w:cs="Times New Roman"/>
                <w:sz w:val="18"/>
                <w:szCs w:val="18"/>
              </w:rPr>
            </w:pPr>
            <w:r w:rsidRPr="000A7465">
              <w:rPr>
                <w:rFonts w:ascii="Times New Roman" w:hAnsi="Times New Roman" w:cs="Times New Roman"/>
                <w:sz w:val="18"/>
                <w:szCs w:val="18"/>
              </w:rPr>
              <w:t xml:space="preserve">No difference in injury risk between teams with high, intermediate or low compliance </w:t>
            </w:r>
          </w:p>
          <w:p w14:paraId="5CEAA363" w14:textId="37BEE99B" w:rsidR="004E11E0" w:rsidRPr="000A7465" w:rsidRDefault="004E11E0" w:rsidP="004E11E0">
            <w:pPr>
              <w:rPr>
                <w:rFonts w:ascii="Times New Roman" w:hAnsi="Times New Roman" w:cs="Times New Roman"/>
                <w:sz w:val="18"/>
                <w:szCs w:val="18"/>
              </w:rPr>
            </w:pPr>
            <w:r w:rsidRPr="000A7465">
              <w:rPr>
                <w:rFonts w:ascii="Times New Roman" w:hAnsi="Times New Roman" w:cs="Times New Roman"/>
                <w:b/>
                <w:sz w:val="18"/>
                <w:szCs w:val="18"/>
              </w:rPr>
              <w:t>Individual player - high versus intermediate compliance</w:t>
            </w:r>
            <w:r w:rsidRPr="000A7465">
              <w:rPr>
                <w:rFonts w:ascii="Times New Roman" w:hAnsi="Times New Roman" w:cs="Times New Roman"/>
                <w:sz w:val="18"/>
                <w:szCs w:val="18"/>
              </w:rPr>
              <w:t>:</w:t>
            </w:r>
          </w:p>
          <w:tbl>
            <w:tblPr>
              <w:tblStyle w:val="TableGrid"/>
              <w:tblW w:w="0" w:type="auto"/>
              <w:tblLayout w:type="fixed"/>
              <w:tblLook w:val="04A0" w:firstRow="1" w:lastRow="0" w:firstColumn="1" w:lastColumn="0" w:noHBand="0" w:noVBand="1"/>
            </w:tblPr>
            <w:tblGrid>
              <w:gridCol w:w="1297"/>
              <w:gridCol w:w="810"/>
              <w:gridCol w:w="1170"/>
              <w:gridCol w:w="810"/>
            </w:tblGrid>
            <w:tr w:rsidR="004E11E0" w:rsidRPr="000A7465" w14:paraId="7016CB8E" w14:textId="77777777" w:rsidTr="004E11E0">
              <w:tc>
                <w:tcPr>
                  <w:tcW w:w="1297" w:type="dxa"/>
                </w:tcPr>
                <w:p w14:paraId="10C50A99" w14:textId="3CF37503" w:rsidR="004E11E0" w:rsidRPr="000A7465" w:rsidRDefault="004E11E0" w:rsidP="000F122F">
                  <w:pPr>
                    <w:rPr>
                      <w:rFonts w:ascii="Times New Roman" w:hAnsi="Times New Roman" w:cs="Times New Roman"/>
                      <w:b/>
                      <w:sz w:val="18"/>
                      <w:szCs w:val="18"/>
                    </w:rPr>
                  </w:pPr>
                </w:p>
              </w:tc>
              <w:tc>
                <w:tcPr>
                  <w:tcW w:w="810" w:type="dxa"/>
                </w:tcPr>
                <w:p w14:paraId="7234465A" w14:textId="77777777" w:rsidR="004E11E0" w:rsidRPr="000A7465" w:rsidRDefault="004E11E0" w:rsidP="000F122F">
                  <w:pPr>
                    <w:rPr>
                      <w:rFonts w:ascii="Times New Roman" w:hAnsi="Times New Roman" w:cs="Times New Roman"/>
                      <w:b/>
                      <w:sz w:val="18"/>
                      <w:szCs w:val="18"/>
                    </w:rPr>
                  </w:pPr>
                  <w:r w:rsidRPr="000A7465">
                    <w:rPr>
                      <w:rFonts w:ascii="Times New Roman" w:hAnsi="Times New Roman" w:cs="Times New Roman"/>
                      <w:b/>
                      <w:sz w:val="18"/>
                      <w:szCs w:val="18"/>
                    </w:rPr>
                    <w:t>RR</w:t>
                  </w:r>
                </w:p>
              </w:tc>
              <w:tc>
                <w:tcPr>
                  <w:tcW w:w="1170" w:type="dxa"/>
                </w:tcPr>
                <w:p w14:paraId="5A7BE26E" w14:textId="77777777" w:rsidR="004E11E0" w:rsidRPr="000A7465" w:rsidRDefault="004E11E0" w:rsidP="000F122F">
                  <w:pPr>
                    <w:rPr>
                      <w:rFonts w:ascii="Times New Roman" w:hAnsi="Times New Roman" w:cs="Times New Roman"/>
                      <w:b/>
                      <w:sz w:val="18"/>
                      <w:szCs w:val="18"/>
                    </w:rPr>
                  </w:pPr>
                  <w:r w:rsidRPr="000A7465">
                    <w:rPr>
                      <w:rFonts w:ascii="Times New Roman" w:hAnsi="Times New Roman" w:cs="Times New Roman"/>
                      <w:b/>
                      <w:sz w:val="18"/>
                      <w:szCs w:val="18"/>
                    </w:rPr>
                    <w:t>95% CI</w:t>
                  </w:r>
                </w:p>
              </w:tc>
              <w:tc>
                <w:tcPr>
                  <w:tcW w:w="810" w:type="dxa"/>
                </w:tcPr>
                <w:p w14:paraId="5DAA79FD" w14:textId="77777777" w:rsidR="004E11E0" w:rsidRPr="000A7465" w:rsidRDefault="004E11E0" w:rsidP="000F122F">
                  <w:pPr>
                    <w:rPr>
                      <w:rFonts w:ascii="Times New Roman" w:hAnsi="Times New Roman" w:cs="Times New Roman"/>
                      <w:b/>
                      <w:sz w:val="18"/>
                      <w:szCs w:val="18"/>
                    </w:rPr>
                  </w:pPr>
                  <w:r w:rsidRPr="000A7465">
                    <w:rPr>
                      <w:rFonts w:ascii="Times New Roman" w:hAnsi="Times New Roman" w:cs="Times New Roman"/>
                      <w:b/>
                      <w:sz w:val="18"/>
                      <w:szCs w:val="18"/>
                    </w:rPr>
                    <w:t>p value</w:t>
                  </w:r>
                </w:p>
              </w:tc>
            </w:tr>
            <w:tr w:rsidR="004E11E0" w:rsidRPr="000A7465" w14:paraId="2421E87A" w14:textId="77777777" w:rsidTr="004E11E0">
              <w:trPr>
                <w:trHeight w:val="179"/>
              </w:trPr>
              <w:tc>
                <w:tcPr>
                  <w:tcW w:w="1297" w:type="dxa"/>
                </w:tcPr>
                <w:p w14:paraId="358BEEF6" w14:textId="77777777" w:rsidR="004E11E0" w:rsidRPr="000A7465" w:rsidRDefault="004E11E0" w:rsidP="000F122F">
                  <w:pPr>
                    <w:rPr>
                      <w:rFonts w:ascii="Times New Roman" w:hAnsi="Times New Roman" w:cs="Times New Roman"/>
                      <w:sz w:val="18"/>
                      <w:szCs w:val="18"/>
                    </w:rPr>
                  </w:pPr>
                  <w:r w:rsidRPr="000A7465">
                    <w:rPr>
                      <w:rFonts w:ascii="Times New Roman" w:hAnsi="Times New Roman" w:cs="Times New Roman"/>
                      <w:sz w:val="18"/>
                      <w:szCs w:val="18"/>
                    </w:rPr>
                    <w:t>All injuries</w:t>
                  </w:r>
                </w:p>
              </w:tc>
              <w:tc>
                <w:tcPr>
                  <w:tcW w:w="810" w:type="dxa"/>
                </w:tcPr>
                <w:p w14:paraId="545B2E41" w14:textId="4DAC5FEC" w:rsidR="004E11E0" w:rsidRPr="000A7465" w:rsidRDefault="004E11E0" w:rsidP="000F122F">
                  <w:pPr>
                    <w:rPr>
                      <w:rFonts w:ascii="Times New Roman" w:hAnsi="Times New Roman" w:cs="Times New Roman"/>
                      <w:sz w:val="18"/>
                      <w:szCs w:val="18"/>
                    </w:rPr>
                  </w:pPr>
                  <w:r w:rsidRPr="000A7465">
                    <w:rPr>
                      <w:rFonts w:ascii="Times New Roman" w:hAnsi="Times New Roman" w:cs="Times New Roman"/>
                      <w:sz w:val="18"/>
                      <w:szCs w:val="18"/>
                    </w:rPr>
                    <w:t>0.65</w:t>
                  </w:r>
                </w:p>
              </w:tc>
              <w:tc>
                <w:tcPr>
                  <w:tcW w:w="1170" w:type="dxa"/>
                </w:tcPr>
                <w:p w14:paraId="490A5A1D" w14:textId="456C9281" w:rsidR="004E11E0" w:rsidRPr="000A7465" w:rsidRDefault="004E11E0" w:rsidP="000F122F">
                  <w:pPr>
                    <w:rPr>
                      <w:rFonts w:ascii="Times New Roman" w:hAnsi="Times New Roman" w:cs="Times New Roman"/>
                      <w:sz w:val="18"/>
                      <w:szCs w:val="18"/>
                    </w:rPr>
                  </w:pPr>
                  <w:r w:rsidRPr="000A7465">
                    <w:rPr>
                      <w:rFonts w:ascii="Times New Roman" w:hAnsi="Times New Roman" w:cs="Times New Roman"/>
                      <w:sz w:val="18"/>
                      <w:szCs w:val="18"/>
                    </w:rPr>
                    <w:t>0.46-0.91</w:t>
                  </w:r>
                </w:p>
              </w:tc>
              <w:tc>
                <w:tcPr>
                  <w:tcW w:w="810" w:type="dxa"/>
                </w:tcPr>
                <w:p w14:paraId="2D2FF6F5" w14:textId="52483EFF" w:rsidR="004E11E0" w:rsidRPr="000A7465" w:rsidRDefault="004E11E0" w:rsidP="000F122F">
                  <w:pPr>
                    <w:rPr>
                      <w:rFonts w:ascii="Times New Roman" w:hAnsi="Times New Roman" w:cs="Times New Roman"/>
                      <w:sz w:val="18"/>
                      <w:szCs w:val="18"/>
                    </w:rPr>
                  </w:pPr>
                  <w:r w:rsidRPr="000A7465">
                    <w:rPr>
                      <w:rFonts w:ascii="Times New Roman" w:hAnsi="Times New Roman" w:cs="Times New Roman"/>
                      <w:sz w:val="18"/>
                      <w:szCs w:val="18"/>
                    </w:rPr>
                    <w:t>0.011*</w:t>
                  </w:r>
                </w:p>
              </w:tc>
            </w:tr>
            <w:tr w:rsidR="004E11E0" w:rsidRPr="000A7465" w14:paraId="61087C13" w14:textId="77777777" w:rsidTr="004E11E0">
              <w:trPr>
                <w:trHeight w:val="170"/>
              </w:trPr>
              <w:tc>
                <w:tcPr>
                  <w:tcW w:w="1297" w:type="dxa"/>
                </w:tcPr>
                <w:p w14:paraId="43E05122" w14:textId="5FDBFACE" w:rsidR="004E11E0" w:rsidRPr="000A7465" w:rsidRDefault="004E11E0" w:rsidP="000F122F">
                  <w:pPr>
                    <w:rPr>
                      <w:rFonts w:ascii="Times New Roman" w:hAnsi="Times New Roman" w:cs="Times New Roman"/>
                      <w:sz w:val="18"/>
                      <w:szCs w:val="18"/>
                    </w:rPr>
                  </w:pPr>
                  <w:r w:rsidRPr="000A7465">
                    <w:rPr>
                      <w:rFonts w:ascii="Times New Roman" w:hAnsi="Times New Roman" w:cs="Times New Roman"/>
                      <w:sz w:val="18"/>
                      <w:szCs w:val="18"/>
                    </w:rPr>
                    <w:t>Acute injuries</w:t>
                  </w:r>
                </w:p>
              </w:tc>
              <w:tc>
                <w:tcPr>
                  <w:tcW w:w="810" w:type="dxa"/>
                </w:tcPr>
                <w:p w14:paraId="0F9563C4" w14:textId="3CABEEE8" w:rsidR="004E11E0" w:rsidRPr="000A7465" w:rsidRDefault="004E11E0" w:rsidP="004E11E0">
                  <w:pPr>
                    <w:rPr>
                      <w:rFonts w:ascii="Times New Roman" w:hAnsi="Times New Roman" w:cs="Times New Roman"/>
                      <w:sz w:val="18"/>
                      <w:szCs w:val="18"/>
                    </w:rPr>
                  </w:pPr>
                  <w:r w:rsidRPr="000A7465">
                    <w:rPr>
                      <w:rFonts w:ascii="Times New Roman" w:hAnsi="Times New Roman" w:cs="Times New Roman"/>
                      <w:sz w:val="18"/>
                      <w:szCs w:val="18"/>
                    </w:rPr>
                    <w:t>0.61</w:t>
                  </w:r>
                </w:p>
              </w:tc>
              <w:tc>
                <w:tcPr>
                  <w:tcW w:w="1170" w:type="dxa"/>
                </w:tcPr>
                <w:p w14:paraId="71210495" w14:textId="31D8EBAD" w:rsidR="004E11E0" w:rsidRPr="000A7465" w:rsidRDefault="004E11E0" w:rsidP="000F122F">
                  <w:pPr>
                    <w:rPr>
                      <w:rFonts w:ascii="Times New Roman" w:hAnsi="Times New Roman" w:cs="Times New Roman"/>
                      <w:sz w:val="18"/>
                      <w:szCs w:val="18"/>
                    </w:rPr>
                  </w:pPr>
                  <w:r w:rsidRPr="000A7465">
                    <w:rPr>
                      <w:rFonts w:ascii="Times New Roman" w:hAnsi="Times New Roman" w:cs="Times New Roman"/>
                      <w:sz w:val="18"/>
                      <w:szCs w:val="18"/>
                    </w:rPr>
                    <w:t>0.42-0.88</w:t>
                  </w:r>
                </w:p>
              </w:tc>
              <w:tc>
                <w:tcPr>
                  <w:tcW w:w="810" w:type="dxa"/>
                </w:tcPr>
                <w:p w14:paraId="1AB9B2AE" w14:textId="69D60B4F" w:rsidR="004E11E0" w:rsidRPr="000A7465" w:rsidRDefault="004E11E0" w:rsidP="000F122F">
                  <w:pPr>
                    <w:rPr>
                      <w:rFonts w:ascii="Times New Roman" w:hAnsi="Times New Roman" w:cs="Times New Roman"/>
                      <w:sz w:val="18"/>
                      <w:szCs w:val="18"/>
                    </w:rPr>
                  </w:pPr>
                  <w:r w:rsidRPr="000A7465">
                    <w:rPr>
                      <w:rFonts w:ascii="Times New Roman" w:hAnsi="Times New Roman" w:cs="Times New Roman"/>
                      <w:sz w:val="18"/>
                      <w:szCs w:val="18"/>
                    </w:rPr>
                    <w:t>0.008*</w:t>
                  </w:r>
                </w:p>
              </w:tc>
            </w:tr>
          </w:tbl>
          <w:p w14:paraId="071B6053" w14:textId="52B3102D" w:rsidR="004E11E0" w:rsidRPr="000A7465" w:rsidRDefault="004E11E0" w:rsidP="004E11E0">
            <w:pPr>
              <w:rPr>
                <w:rFonts w:ascii="Times New Roman" w:hAnsi="Times New Roman" w:cs="Times New Roman"/>
                <w:b/>
                <w:sz w:val="18"/>
                <w:szCs w:val="18"/>
              </w:rPr>
            </w:pPr>
            <w:r w:rsidRPr="000A7465">
              <w:rPr>
                <w:rFonts w:ascii="Times New Roman" w:hAnsi="Times New Roman" w:cs="Times New Roman"/>
                <w:b/>
                <w:sz w:val="18"/>
                <w:szCs w:val="18"/>
              </w:rPr>
              <w:t>Individual player - high versus low compliance:</w:t>
            </w:r>
          </w:p>
          <w:tbl>
            <w:tblPr>
              <w:tblStyle w:val="TableGrid"/>
              <w:tblW w:w="0" w:type="auto"/>
              <w:tblLayout w:type="fixed"/>
              <w:tblLook w:val="04A0" w:firstRow="1" w:lastRow="0" w:firstColumn="1" w:lastColumn="0" w:noHBand="0" w:noVBand="1"/>
            </w:tblPr>
            <w:tblGrid>
              <w:gridCol w:w="1297"/>
              <w:gridCol w:w="810"/>
              <w:gridCol w:w="1170"/>
              <w:gridCol w:w="810"/>
            </w:tblGrid>
            <w:tr w:rsidR="004E11E0" w:rsidRPr="000A7465" w14:paraId="649C74D7" w14:textId="77777777" w:rsidTr="000F122F">
              <w:tc>
                <w:tcPr>
                  <w:tcW w:w="1297" w:type="dxa"/>
                </w:tcPr>
                <w:p w14:paraId="404AF17F" w14:textId="77777777" w:rsidR="004E11E0" w:rsidRPr="000A7465" w:rsidRDefault="004E11E0" w:rsidP="000F122F">
                  <w:pPr>
                    <w:rPr>
                      <w:rFonts w:ascii="Times New Roman" w:hAnsi="Times New Roman" w:cs="Times New Roman"/>
                      <w:b/>
                      <w:sz w:val="18"/>
                      <w:szCs w:val="18"/>
                    </w:rPr>
                  </w:pPr>
                </w:p>
              </w:tc>
              <w:tc>
                <w:tcPr>
                  <w:tcW w:w="810" w:type="dxa"/>
                </w:tcPr>
                <w:p w14:paraId="161F6876" w14:textId="77777777" w:rsidR="004E11E0" w:rsidRPr="000A7465" w:rsidRDefault="004E11E0" w:rsidP="000F122F">
                  <w:pPr>
                    <w:rPr>
                      <w:rFonts w:ascii="Times New Roman" w:hAnsi="Times New Roman" w:cs="Times New Roman"/>
                      <w:b/>
                      <w:sz w:val="18"/>
                      <w:szCs w:val="18"/>
                    </w:rPr>
                  </w:pPr>
                  <w:r w:rsidRPr="000A7465">
                    <w:rPr>
                      <w:rFonts w:ascii="Times New Roman" w:hAnsi="Times New Roman" w:cs="Times New Roman"/>
                      <w:b/>
                      <w:sz w:val="18"/>
                      <w:szCs w:val="18"/>
                    </w:rPr>
                    <w:t>RR</w:t>
                  </w:r>
                </w:p>
              </w:tc>
              <w:tc>
                <w:tcPr>
                  <w:tcW w:w="1170" w:type="dxa"/>
                </w:tcPr>
                <w:p w14:paraId="4DF729BE" w14:textId="77777777" w:rsidR="004E11E0" w:rsidRPr="000A7465" w:rsidRDefault="004E11E0" w:rsidP="000F122F">
                  <w:pPr>
                    <w:rPr>
                      <w:rFonts w:ascii="Times New Roman" w:hAnsi="Times New Roman" w:cs="Times New Roman"/>
                      <w:b/>
                      <w:sz w:val="18"/>
                      <w:szCs w:val="18"/>
                    </w:rPr>
                  </w:pPr>
                  <w:r w:rsidRPr="000A7465">
                    <w:rPr>
                      <w:rFonts w:ascii="Times New Roman" w:hAnsi="Times New Roman" w:cs="Times New Roman"/>
                      <w:b/>
                      <w:sz w:val="18"/>
                      <w:szCs w:val="18"/>
                    </w:rPr>
                    <w:t>95% CI</w:t>
                  </w:r>
                </w:p>
              </w:tc>
              <w:tc>
                <w:tcPr>
                  <w:tcW w:w="810" w:type="dxa"/>
                </w:tcPr>
                <w:p w14:paraId="1E0944AD" w14:textId="77777777" w:rsidR="004E11E0" w:rsidRPr="000A7465" w:rsidRDefault="004E11E0" w:rsidP="000F122F">
                  <w:pPr>
                    <w:rPr>
                      <w:rFonts w:ascii="Times New Roman" w:hAnsi="Times New Roman" w:cs="Times New Roman"/>
                      <w:b/>
                      <w:sz w:val="18"/>
                      <w:szCs w:val="18"/>
                    </w:rPr>
                  </w:pPr>
                  <w:r w:rsidRPr="000A7465">
                    <w:rPr>
                      <w:rFonts w:ascii="Times New Roman" w:hAnsi="Times New Roman" w:cs="Times New Roman"/>
                      <w:b/>
                      <w:sz w:val="18"/>
                      <w:szCs w:val="18"/>
                    </w:rPr>
                    <w:t>p value</w:t>
                  </w:r>
                </w:p>
              </w:tc>
            </w:tr>
            <w:tr w:rsidR="004E11E0" w:rsidRPr="000A7465" w14:paraId="70CA6750" w14:textId="77777777" w:rsidTr="000F122F">
              <w:trPr>
                <w:trHeight w:val="179"/>
              </w:trPr>
              <w:tc>
                <w:tcPr>
                  <w:tcW w:w="1297" w:type="dxa"/>
                </w:tcPr>
                <w:p w14:paraId="613B4DB2" w14:textId="77777777" w:rsidR="004E11E0" w:rsidRPr="000A7465" w:rsidRDefault="004E11E0" w:rsidP="000F122F">
                  <w:pPr>
                    <w:rPr>
                      <w:rFonts w:ascii="Times New Roman" w:hAnsi="Times New Roman" w:cs="Times New Roman"/>
                      <w:sz w:val="18"/>
                      <w:szCs w:val="18"/>
                    </w:rPr>
                  </w:pPr>
                  <w:r w:rsidRPr="000A7465">
                    <w:rPr>
                      <w:rFonts w:ascii="Times New Roman" w:hAnsi="Times New Roman" w:cs="Times New Roman"/>
                      <w:sz w:val="18"/>
                      <w:szCs w:val="18"/>
                    </w:rPr>
                    <w:t>All injuries</w:t>
                  </w:r>
                </w:p>
              </w:tc>
              <w:tc>
                <w:tcPr>
                  <w:tcW w:w="810" w:type="dxa"/>
                </w:tcPr>
                <w:p w14:paraId="3B208D97" w14:textId="77D40068" w:rsidR="004E11E0" w:rsidRPr="000A7465" w:rsidRDefault="004E11E0" w:rsidP="000F122F">
                  <w:pPr>
                    <w:rPr>
                      <w:rFonts w:ascii="Times New Roman" w:hAnsi="Times New Roman" w:cs="Times New Roman"/>
                      <w:sz w:val="18"/>
                      <w:szCs w:val="18"/>
                    </w:rPr>
                  </w:pPr>
                  <w:r w:rsidRPr="000A7465">
                    <w:rPr>
                      <w:rFonts w:ascii="Times New Roman" w:hAnsi="Times New Roman" w:cs="Times New Roman"/>
                      <w:sz w:val="18"/>
                      <w:szCs w:val="18"/>
                    </w:rPr>
                    <w:t>0.68</w:t>
                  </w:r>
                </w:p>
              </w:tc>
              <w:tc>
                <w:tcPr>
                  <w:tcW w:w="1170" w:type="dxa"/>
                </w:tcPr>
                <w:p w14:paraId="6AE4B138" w14:textId="4D68A7CF" w:rsidR="004E11E0" w:rsidRPr="000A7465" w:rsidRDefault="004E11E0" w:rsidP="000F122F">
                  <w:pPr>
                    <w:rPr>
                      <w:rFonts w:ascii="Times New Roman" w:hAnsi="Times New Roman" w:cs="Times New Roman"/>
                      <w:sz w:val="18"/>
                      <w:szCs w:val="18"/>
                    </w:rPr>
                  </w:pPr>
                  <w:r w:rsidRPr="000A7465">
                    <w:rPr>
                      <w:rFonts w:ascii="Times New Roman" w:hAnsi="Times New Roman" w:cs="Times New Roman"/>
                      <w:sz w:val="18"/>
                      <w:szCs w:val="18"/>
                    </w:rPr>
                    <w:t>0.41-1.12</w:t>
                  </w:r>
                </w:p>
              </w:tc>
              <w:tc>
                <w:tcPr>
                  <w:tcW w:w="810" w:type="dxa"/>
                </w:tcPr>
                <w:p w14:paraId="626FA99A" w14:textId="215A8A20" w:rsidR="004E11E0" w:rsidRPr="000A7465" w:rsidRDefault="004E11E0" w:rsidP="000F122F">
                  <w:pPr>
                    <w:rPr>
                      <w:rFonts w:ascii="Times New Roman" w:hAnsi="Times New Roman" w:cs="Times New Roman"/>
                      <w:sz w:val="18"/>
                      <w:szCs w:val="18"/>
                    </w:rPr>
                  </w:pPr>
                  <w:r w:rsidRPr="000A7465">
                    <w:rPr>
                      <w:rFonts w:ascii="Times New Roman" w:hAnsi="Times New Roman" w:cs="Times New Roman"/>
                      <w:sz w:val="18"/>
                      <w:szCs w:val="18"/>
                    </w:rPr>
                    <w:t>0.13</w:t>
                  </w:r>
                </w:p>
              </w:tc>
            </w:tr>
            <w:tr w:rsidR="004E11E0" w:rsidRPr="000A7465" w14:paraId="288D9132" w14:textId="77777777" w:rsidTr="000F122F">
              <w:trPr>
                <w:trHeight w:val="170"/>
              </w:trPr>
              <w:tc>
                <w:tcPr>
                  <w:tcW w:w="1297" w:type="dxa"/>
                </w:tcPr>
                <w:p w14:paraId="1FEA5742" w14:textId="77777777" w:rsidR="004E11E0" w:rsidRPr="000A7465" w:rsidRDefault="004E11E0" w:rsidP="000F122F">
                  <w:pPr>
                    <w:rPr>
                      <w:rFonts w:ascii="Times New Roman" w:hAnsi="Times New Roman" w:cs="Times New Roman"/>
                      <w:sz w:val="18"/>
                      <w:szCs w:val="18"/>
                    </w:rPr>
                  </w:pPr>
                  <w:r w:rsidRPr="000A7465">
                    <w:rPr>
                      <w:rFonts w:ascii="Times New Roman" w:hAnsi="Times New Roman" w:cs="Times New Roman"/>
                      <w:sz w:val="18"/>
                      <w:szCs w:val="18"/>
                    </w:rPr>
                    <w:t>Acute injuries</w:t>
                  </w:r>
                </w:p>
              </w:tc>
              <w:tc>
                <w:tcPr>
                  <w:tcW w:w="810" w:type="dxa"/>
                </w:tcPr>
                <w:p w14:paraId="7C2247BB" w14:textId="0951FC32" w:rsidR="004E11E0" w:rsidRPr="000A7465" w:rsidRDefault="004E11E0" w:rsidP="000F122F">
                  <w:pPr>
                    <w:rPr>
                      <w:rFonts w:ascii="Times New Roman" w:hAnsi="Times New Roman" w:cs="Times New Roman"/>
                      <w:sz w:val="18"/>
                      <w:szCs w:val="18"/>
                    </w:rPr>
                  </w:pPr>
                  <w:r w:rsidRPr="000A7465">
                    <w:rPr>
                      <w:rFonts w:ascii="Times New Roman" w:hAnsi="Times New Roman" w:cs="Times New Roman"/>
                      <w:sz w:val="18"/>
                      <w:szCs w:val="18"/>
                    </w:rPr>
                    <w:t>0.65</w:t>
                  </w:r>
                </w:p>
              </w:tc>
              <w:tc>
                <w:tcPr>
                  <w:tcW w:w="1170" w:type="dxa"/>
                </w:tcPr>
                <w:p w14:paraId="4A26B915" w14:textId="219B1660" w:rsidR="004E11E0" w:rsidRPr="000A7465" w:rsidRDefault="004E11E0" w:rsidP="000F122F">
                  <w:pPr>
                    <w:rPr>
                      <w:rFonts w:ascii="Times New Roman" w:hAnsi="Times New Roman" w:cs="Times New Roman"/>
                      <w:sz w:val="18"/>
                      <w:szCs w:val="18"/>
                    </w:rPr>
                  </w:pPr>
                  <w:r w:rsidRPr="000A7465">
                    <w:rPr>
                      <w:rFonts w:ascii="Times New Roman" w:hAnsi="Times New Roman" w:cs="Times New Roman"/>
                      <w:sz w:val="18"/>
                      <w:szCs w:val="18"/>
                    </w:rPr>
                    <w:t>0.39-1.08</w:t>
                  </w:r>
                </w:p>
              </w:tc>
              <w:tc>
                <w:tcPr>
                  <w:tcW w:w="810" w:type="dxa"/>
                </w:tcPr>
                <w:p w14:paraId="4A97470D" w14:textId="4DFC6DCD" w:rsidR="004E11E0" w:rsidRPr="000A7465" w:rsidRDefault="004E11E0" w:rsidP="004E11E0">
                  <w:pPr>
                    <w:rPr>
                      <w:rFonts w:ascii="Times New Roman" w:hAnsi="Times New Roman" w:cs="Times New Roman"/>
                      <w:sz w:val="18"/>
                      <w:szCs w:val="18"/>
                    </w:rPr>
                  </w:pPr>
                  <w:r w:rsidRPr="000A7465">
                    <w:rPr>
                      <w:rFonts w:ascii="Times New Roman" w:hAnsi="Times New Roman" w:cs="Times New Roman"/>
                      <w:sz w:val="18"/>
                      <w:szCs w:val="18"/>
                    </w:rPr>
                    <w:t>0.09</w:t>
                  </w:r>
                </w:p>
              </w:tc>
            </w:tr>
          </w:tbl>
          <w:p w14:paraId="680D4276" w14:textId="77777777" w:rsidR="004E11E0" w:rsidRPr="000A7465" w:rsidRDefault="004E11E0" w:rsidP="000F122F">
            <w:pPr>
              <w:rPr>
                <w:rFonts w:ascii="Times New Roman" w:hAnsi="Times New Roman" w:cs="Times New Roman"/>
                <w:sz w:val="18"/>
                <w:szCs w:val="18"/>
              </w:rPr>
            </w:pPr>
          </w:p>
          <w:p w14:paraId="1F15111B" w14:textId="77777777" w:rsidR="00DE2D3C" w:rsidRPr="000A7465" w:rsidRDefault="00DE2D3C" w:rsidP="000F122F">
            <w:pPr>
              <w:rPr>
                <w:rFonts w:ascii="Times New Roman" w:hAnsi="Times New Roman" w:cs="Times New Roman"/>
                <w:b/>
                <w:sz w:val="18"/>
                <w:szCs w:val="18"/>
              </w:rPr>
            </w:pPr>
            <w:r w:rsidRPr="000A7465">
              <w:rPr>
                <w:rFonts w:ascii="Times New Roman" w:hAnsi="Times New Roman" w:cs="Times New Roman"/>
                <w:b/>
                <w:sz w:val="18"/>
                <w:szCs w:val="18"/>
              </w:rPr>
              <w:t xml:space="preserve">Coaches attitudes: </w:t>
            </w:r>
          </w:p>
          <w:p w14:paraId="063E0A1C" w14:textId="77777777" w:rsidR="00DE2D3C" w:rsidRPr="000A7465" w:rsidRDefault="00DE2D3C" w:rsidP="000F122F">
            <w:pPr>
              <w:pStyle w:val="ListParagraph"/>
              <w:numPr>
                <w:ilvl w:val="0"/>
                <w:numId w:val="10"/>
              </w:numPr>
              <w:rPr>
                <w:rFonts w:ascii="Times New Roman" w:hAnsi="Times New Roman" w:cs="Times New Roman"/>
                <w:sz w:val="18"/>
                <w:szCs w:val="18"/>
              </w:rPr>
            </w:pPr>
            <w:r w:rsidRPr="000A7465">
              <w:rPr>
                <w:rFonts w:ascii="Times New Roman" w:hAnsi="Times New Roman" w:cs="Times New Roman"/>
                <w:sz w:val="18"/>
                <w:szCs w:val="18"/>
              </w:rPr>
              <w:t>75% of coaches reported being influenced by media as their motivation for using the injury prevention program.</w:t>
            </w:r>
          </w:p>
          <w:p w14:paraId="15168AB9" w14:textId="09B3C9B0" w:rsidR="00DE2D3C" w:rsidRPr="000A7465" w:rsidRDefault="00DE2D3C" w:rsidP="000F122F">
            <w:pPr>
              <w:pStyle w:val="ListParagraph"/>
              <w:numPr>
                <w:ilvl w:val="0"/>
                <w:numId w:val="10"/>
              </w:numPr>
              <w:rPr>
                <w:rFonts w:ascii="Times New Roman" w:hAnsi="Times New Roman" w:cs="Times New Roman"/>
                <w:sz w:val="18"/>
                <w:szCs w:val="18"/>
              </w:rPr>
            </w:pPr>
            <w:r w:rsidRPr="000A7465">
              <w:rPr>
                <w:rFonts w:ascii="Times New Roman" w:hAnsi="Times New Roman" w:cs="Times New Roman"/>
                <w:sz w:val="18"/>
                <w:szCs w:val="18"/>
              </w:rPr>
              <w:t xml:space="preserve">Coaches of teams with high compliance reported that players’ motivation to complete the </w:t>
            </w:r>
            <w:r w:rsidR="00E42956">
              <w:rPr>
                <w:rFonts w:ascii="Times New Roman" w:hAnsi="Times New Roman" w:cs="Times New Roman"/>
                <w:sz w:val="18"/>
                <w:szCs w:val="18"/>
              </w:rPr>
              <w:t>“</w:t>
            </w:r>
            <w:r w:rsidRPr="000A7465">
              <w:rPr>
                <w:rFonts w:ascii="Times New Roman" w:hAnsi="Times New Roman" w:cs="Times New Roman"/>
                <w:sz w:val="18"/>
                <w:szCs w:val="18"/>
              </w:rPr>
              <w:t>11+</w:t>
            </w:r>
            <w:r w:rsidR="00E42956">
              <w:rPr>
                <w:rFonts w:ascii="Times New Roman" w:hAnsi="Times New Roman" w:cs="Times New Roman"/>
                <w:sz w:val="18"/>
                <w:szCs w:val="18"/>
              </w:rPr>
              <w:t>”</w:t>
            </w:r>
            <w:r w:rsidRPr="000A7465">
              <w:rPr>
                <w:rFonts w:ascii="Times New Roman" w:hAnsi="Times New Roman" w:cs="Times New Roman"/>
                <w:sz w:val="18"/>
                <w:szCs w:val="18"/>
              </w:rPr>
              <w:t xml:space="preserve"> program were high (94%), versus only 41% of coaches of low-compliance teams. </w:t>
            </w:r>
          </w:p>
          <w:p w14:paraId="4D83DB72" w14:textId="1CD497AD" w:rsidR="00DE2D3C" w:rsidRPr="000A7465" w:rsidRDefault="00DE2D3C" w:rsidP="000F122F">
            <w:pPr>
              <w:rPr>
                <w:rFonts w:ascii="Times New Roman" w:hAnsi="Times New Roman" w:cs="Times New Roman"/>
                <w:b/>
                <w:sz w:val="18"/>
                <w:szCs w:val="18"/>
              </w:rPr>
            </w:pPr>
            <w:r w:rsidRPr="000A7465">
              <w:rPr>
                <w:rFonts w:ascii="Times New Roman" w:hAnsi="Times New Roman" w:cs="Times New Roman"/>
                <w:sz w:val="18"/>
                <w:szCs w:val="18"/>
              </w:rPr>
              <w:t>Perceptions that the program was too time consuming and that it did not include sufficient soccer specific exercises were strongly correlated with low-compliance</w:t>
            </w:r>
          </w:p>
        </w:tc>
        <w:tc>
          <w:tcPr>
            <w:tcW w:w="3495" w:type="dxa"/>
          </w:tcPr>
          <w:p w14:paraId="4FCF5559" w14:textId="39CDC313" w:rsidR="00DE2D3C" w:rsidRPr="000A7465" w:rsidRDefault="00DE2D3C" w:rsidP="000F122F">
            <w:pPr>
              <w:rPr>
                <w:rFonts w:ascii="Times New Roman" w:hAnsi="Times New Roman" w:cs="Times New Roman"/>
                <w:sz w:val="18"/>
                <w:szCs w:val="18"/>
              </w:rPr>
            </w:pPr>
            <w:r w:rsidRPr="000A7465">
              <w:rPr>
                <w:rFonts w:ascii="Times New Roman" w:hAnsi="Times New Roman" w:cs="Times New Roman"/>
                <w:b/>
                <w:sz w:val="18"/>
                <w:szCs w:val="18"/>
              </w:rPr>
              <w:t>Conclusions</w:t>
            </w:r>
            <w:r w:rsidRPr="000A7465">
              <w:rPr>
                <w:rFonts w:ascii="Times New Roman" w:hAnsi="Times New Roman" w:cs="Times New Roman"/>
                <w:sz w:val="18"/>
                <w:szCs w:val="18"/>
              </w:rPr>
              <w:t xml:space="preserve">: </w:t>
            </w:r>
            <w:r w:rsidR="004E11E0" w:rsidRPr="000A7465">
              <w:rPr>
                <w:rFonts w:ascii="Times New Roman" w:hAnsi="Times New Roman" w:cs="Times New Roman"/>
                <w:sz w:val="18"/>
                <w:szCs w:val="18"/>
              </w:rPr>
              <w:t>High compliance of 1.5 sessions per week lowered the risk of all injuries by 35% and acute injuries by 39% in comparison to players with intermediate compliance. “Positive attitudes towards injury prevention correlated with high compliance and lower injury risk.”</w:t>
            </w:r>
          </w:p>
          <w:p w14:paraId="600A28D9" w14:textId="77777777" w:rsidR="00DE2D3C" w:rsidRPr="000A7465" w:rsidRDefault="00DE2D3C" w:rsidP="000F122F">
            <w:pPr>
              <w:rPr>
                <w:rFonts w:ascii="Times New Roman" w:hAnsi="Times New Roman" w:cs="Times New Roman"/>
                <w:sz w:val="18"/>
                <w:szCs w:val="18"/>
              </w:rPr>
            </w:pPr>
          </w:p>
          <w:p w14:paraId="3CD36EE7" w14:textId="77777777" w:rsidR="004E11E0" w:rsidRPr="000A7465" w:rsidRDefault="004E11E0" w:rsidP="000F122F">
            <w:pPr>
              <w:rPr>
                <w:rFonts w:ascii="Times New Roman" w:hAnsi="Times New Roman" w:cs="Times New Roman"/>
                <w:sz w:val="18"/>
                <w:szCs w:val="18"/>
              </w:rPr>
            </w:pPr>
          </w:p>
          <w:p w14:paraId="165262D2" w14:textId="34825ED3" w:rsidR="004E11E0" w:rsidRPr="000A7465" w:rsidRDefault="004E11E0" w:rsidP="000F122F">
            <w:pPr>
              <w:rPr>
                <w:rFonts w:ascii="Times New Roman" w:hAnsi="Times New Roman" w:cs="Times New Roman"/>
                <w:sz w:val="18"/>
                <w:szCs w:val="18"/>
              </w:rPr>
            </w:pPr>
            <w:r w:rsidRPr="000A7465">
              <w:rPr>
                <w:rFonts w:ascii="Times New Roman" w:hAnsi="Times New Roman" w:cs="Times New Roman"/>
                <w:sz w:val="18"/>
                <w:szCs w:val="18"/>
              </w:rPr>
              <w:t xml:space="preserve">General limitations – </w:t>
            </w:r>
            <w:r w:rsidRPr="000A7465">
              <w:rPr>
                <w:rFonts w:ascii="Times New Roman" w:hAnsi="Times New Roman" w:cs="Times New Roman"/>
                <w:b/>
                <w:i/>
                <w:sz w:val="18"/>
                <w:szCs w:val="18"/>
              </w:rPr>
              <w:t xml:space="preserve">outlined in </w:t>
            </w:r>
            <w:proofErr w:type="spellStart"/>
            <w:r w:rsidRPr="000A7465">
              <w:rPr>
                <w:rFonts w:ascii="Times New Roman" w:hAnsi="Times New Roman" w:cs="Times New Roman"/>
                <w:b/>
                <w:i/>
                <w:sz w:val="18"/>
                <w:szCs w:val="18"/>
              </w:rPr>
              <w:t>Soligard</w:t>
            </w:r>
            <w:proofErr w:type="spellEnd"/>
            <w:r w:rsidRPr="000A7465">
              <w:rPr>
                <w:rFonts w:ascii="Times New Roman" w:hAnsi="Times New Roman" w:cs="Times New Roman"/>
                <w:b/>
                <w:i/>
                <w:sz w:val="18"/>
                <w:szCs w:val="18"/>
              </w:rPr>
              <w:t xml:space="preserve"> 2008</w:t>
            </w:r>
            <w:r w:rsidRPr="000A7465">
              <w:rPr>
                <w:rFonts w:ascii="Times New Roman" w:hAnsi="Times New Roman" w:cs="Times New Roman"/>
                <w:sz w:val="18"/>
                <w:szCs w:val="18"/>
              </w:rPr>
              <w:fldChar w:fldCharType="begin"/>
            </w:r>
            <w:r w:rsidR="009D18FB" w:rsidRPr="000A7465">
              <w:rPr>
                <w:rFonts w:ascii="Times New Roman" w:hAnsi="Times New Roman" w:cs="Times New Roman"/>
                <w:sz w:val="18"/>
                <w:szCs w:val="18"/>
              </w:rPr>
              <w:instrText>ADDIN F1000_CSL_CITATION&lt;~#@#~&gt;[{"DOI":"10.1136/bmj.a2469","First":false,"Last":false,"PMCID":"PMC2600961","PMID":"19066253","abstract":"&lt;strong&gt;OBJECTIVE:&lt;/strong&gt; To examine the effect of a comprehensive warm-up programme designed to reduce the risk of injuries in female youth football.&lt;br&gt;&lt;br&gt;&lt;strong&gt;DESIGN:&lt;/strong&gt; Cluster randomised controlled trial with clubs as the unit of randomisation.&lt;br&gt;&lt;br&gt;&lt;strong&gt;SETTING:&lt;/strong&gt; 125 football clubs from the south, east, and middle of Norway (65 clusters in the intervention group; 60 in the control group) followed for one league season (eight months).&lt;br&gt;&lt;br&gt;&lt;strong&gt;PARTICIPANTS:&lt;/strong&gt; 1892 female players aged 13-17 (1055 players in the intervention group; 837 players in the control group).&lt;br&gt;&lt;br&gt;&lt;strong&gt;INTERVENTION:&lt;/strong&gt; A comprehensive warm-up programme to improve strength, awareness, and neuromuscular control during static and dynamic movements.&lt;br&gt;&lt;br&gt;&lt;strong&gt;MAIN OUTCOME MEASURE:&lt;/strong&gt; Injuries to the lower extremity (foot, ankle, lower leg, knee, thigh, groin, and hip).&lt;br&gt;&lt;br&gt;&lt;strong&gt;RESULTS:&lt;/strong&gt; During one season, 264 players had relevant injuries: 121 players in the intervention group and 143 in the control group (rate ratio 0.71, 95% confidence interval 0.49 to 1.03). In the intervention group there was a significantly lower risk of injuries overall (0.68, 0.48 to 0.98), overuse injuries (0.47, 0.26 to 0.85), and severe injuries (0.55, 0.36 to 0.83).&lt;br&gt;&lt;br&gt;&lt;strong&gt;CONCLUSION:&lt;/strong&gt; Though the primary outcome of reduction in lower extremity injury did not reach significance, the risk of severe injuries, overuse injuries, and injuries overall was reduced. This indicates that a structured warm-up programme can prevent injuries in young female football players.&lt;br&gt;&lt;br&gt;&lt;strong&gt;TRIAL REGISTRATION:&lt;/strong&gt; ISRCTN10306290.","author":[{"family":"Soligard","given":"Torbjørn"},{"family":"Myklebust","given":"Grethe"},{"family":"Steffen","given":"Kathrin"},{"family":"Holme","given":"Ingar"},{"family":"Silvers","given":"Holly"},{"family":"Bizzini","given":"Mario"},{"family":"Junge","given":"Astrid"},{"family":"Dvorak","given":"Jiri"},{"family":"Bahr","given":"Roald"},{"family":"Andersen","given":"Thor Einar"}],"citation-label":"2595882","container-title":"BMJ (Clinical Research Ed.)","container-title-short":"BMJ","id":"2595882","invisible":false,"issued":{"date-parts":[["2008","12","9"]]},"journalAbbreviation":"BMJ","page":"a2469","suppress-author":false,"title":"Comprehensive warm-up programme to prevent injuries in young female footballers: cluster randomised controlled trial.","type":"article-journal","volume":"337"}]</w:instrText>
            </w:r>
            <w:r w:rsidRPr="000A7465">
              <w:rPr>
                <w:rFonts w:ascii="Times New Roman" w:hAnsi="Times New Roman" w:cs="Times New Roman"/>
                <w:sz w:val="18"/>
                <w:szCs w:val="18"/>
              </w:rPr>
              <w:fldChar w:fldCharType="separate"/>
            </w:r>
            <w:r w:rsidR="00502F90" w:rsidRPr="000A7465">
              <w:rPr>
                <w:rFonts w:ascii="Times New Roman" w:hAnsi="Times New Roman" w:cs="Times New Roman"/>
                <w:noProof/>
                <w:sz w:val="18"/>
                <w:szCs w:val="18"/>
                <w:vertAlign w:val="superscript"/>
              </w:rPr>
              <w:t>1</w:t>
            </w:r>
            <w:r w:rsidRPr="000A7465">
              <w:rPr>
                <w:rFonts w:ascii="Times New Roman" w:hAnsi="Times New Roman" w:cs="Times New Roman"/>
                <w:sz w:val="18"/>
                <w:szCs w:val="18"/>
              </w:rPr>
              <w:fldChar w:fldCharType="end"/>
            </w:r>
          </w:p>
          <w:p w14:paraId="00CDEDCB" w14:textId="77777777" w:rsidR="00DE2D3C" w:rsidRPr="000A7465" w:rsidRDefault="00DE2D3C" w:rsidP="000F122F">
            <w:pPr>
              <w:rPr>
                <w:rFonts w:ascii="Times New Roman" w:hAnsi="Times New Roman" w:cs="Times New Roman"/>
                <w:sz w:val="18"/>
                <w:szCs w:val="18"/>
              </w:rPr>
            </w:pPr>
          </w:p>
          <w:p w14:paraId="772839DE" w14:textId="77777777" w:rsidR="00DE2D3C" w:rsidRPr="000A7465" w:rsidRDefault="00DE2D3C" w:rsidP="000F122F">
            <w:pPr>
              <w:rPr>
                <w:rFonts w:ascii="Times New Roman" w:hAnsi="Times New Roman" w:cs="Times New Roman"/>
                <w:sz w:val="18"/>
                <w:szCs w:val="18"/>
              </w:rPr>
            </w:pPr>
            <w:r w:rsidRPr="000A7465">
              <w:rPr>
                <w:rFonts w:ascii="Times New Roman" w:hAnsi="Times New Roman" w:cs="Times New Roman"/>
                <w:b/>
                <w:sz w:val="18"/>
                <w:szCs w:val="18"/>
              </w:rPr>
              <w:t>Limitations survey</w:t>
            </w:r>
            <w:r w:rsidRPr="000A7465">
              <w:rPr>
                <w:rFonts w:ascii="Times New Roman" w:hAnsi="Times New Roman" w:cs="Times New Roman"/>
                <w:sz w:val="18"/>
                <w:szCs w:val="18"/>
              </w:rPr>
              <w:t xml:space="preserve">: </w:t>
            </w:r>
          </w:p>
          <w:p w14:paraId="5D40F189" w14:textId="77777777" w:rsidR="00DE2D3C" w:rsidRPr="000A7465" w:rsidRDefault="00DE2D3C" w:rsidP="000F122F">
            <w:pPr>
              <w:pStyle w:val="ListParagraph"/>
              <w:numPr>
                <w:ilvl w:val="0"/>
                <w:numId w:val="10"/>
              </w:numPr>
              <w:rPr>
                <w:rFonts w:ascii="Times New Roman" w:hAnsi="Times New Roman" w:cs="Times New Roman"/>
                <w:sz w:val="18"/>
                <w:szCs w:val="18"/>
              </w:rPr>
            </w:pPr>
            <w:r w:rsidRPr="000A7465">
              <w:rPr>
                <w:rFonts w:ascii="Times New Roman" w:hAnsi="Times New Roman" w:cs="Times New Roman"/>
                <w:sz w:val="18"/>
                <w:szCs w:val="18"/>
              </w:rPr>
              <w:t xml:space="preserve"> Retrospective design</w:t>
            </w:r>
          </w:p>
          <w:p w14:paraId="56867722" w14:textId="6556286D" w:rsidR="00DE2D3C" w:rsidRPr="000A7465" w:rsidRDefault="00713376" w:rsidP="004E2A12">
            <w:pPr>
              <w:pStyle w:val="ListParagraph"/>
              <w:numPr>
                <w:ilvl w:val="0"/>
                <w:numId w:val="10"/>
              </w:numPr>
              <w:rPr>
                <w:rFonts w:ascii="Times New Roman" w:hAnsi="Times New Roman" w:cs="Times New Roman"/>
                <w:sz w:val="18"/>
                <w:szCs w:val="18"/>
              </w:rPr>
            </w:pPr>
            <w:r w:rsidRPr="000A7465">
              <w:rPr>
                <w:rFonts w:ascii="Times New Roman" w:hAnsi="Times New Roman" w:cs="Times New Roman"/>
                <w:sz w:val="18"/>
                <w:szCs w:val="18"/>
              </w:rPr>
              <w:t>High a</w:t>
            </w:r>
            <w:r w:rsidR="00DE2D3C" w:rsidRPr="000A7465">
              <w:rPr>
                <w:rFonts w:ascii="Times New Roman" w:hAnsi="Times New Roman" w:cs="Times New Roman"/>
                <w:sz w:val="18"/>
                <w:szCs w:val="18"/>
              </w:rPr>
              <w:t>ttrition rates</w:t>
            </w:r>
          </w:p>
        </w:tc>
      </w:tr>
    </w:tbl>
    <w:p w14:paraId="44FF4E26" w14:textId="6949099F" w:rsidR="00B62AF5" w:rsidRPr="000A7465" w:rsidRDefault="00B62AF5">
      <w:pPr>
        <w:rPr>
          <w:rFonts w:ascii="Times New Roman" w:hAnsi="Times New Roman" w:cs="Times New Roman"/>
        </w:rPr>
      </w:pPr>
    </w:p>
    <w:p w14:paraId="3202FFA4" w14:textId="77777777" w:rsidR="00B62AF5" w:rsidRPr="000A7465" w:rsidRDefault="00B62AF5">
      <w:pPr>
        <w:rPr>
          <w:rFonts w:ascii="Times New Roman" w:hAnsi="Times New Roman" w:cs="Times New Roman"/>
        </w:rPr>
      </w:pPr>
      <w:r w:rsidRPr="000A7465">
        <w:rPr>
          <w:rFonts w:ascii="Times New Roman" w:hAnsi="Times New Roman" w:cs="Times New Roman"/>
        </w:rPr>
        <w:br w:type="page"/>
      </w:r>
    </w:p>
    <w:p w14:paraId="0AFEBA98" w14:textId="77777777" w:rsidR="00B62AF5" w:rsidRPr="000A7465" w:rsidRDefault="00B62AF5">
      <w:pPr>
        <w:rPr>
          <w:rFonts w:ascii="Times New Roman" w:hAnsi="Times New Roman" w:cs="Times New Roman"/>
        </w:rPr>
      </w:pPr>
    </w:p>
    <w:tbl>
      <w:tblPr>
        <w:tblStyle w:val="TableGrid"/>
        <w:tblW w:w="15378" w:type="dxa"/>
        <w:tblInd w:w="-455" w:type="dxa"/>
        <w:tblLayout w:type="fixed"/>
        <w:tblLook w:val="04A0" w:firstRow="1" w:lastRow="0" w:firstColumn="1" w:lastColumn="0" w:noHBand="0" w:noVBand="1"/>
      </w:tblPr>
      <w:tblGrid>
        <w:gridCol w:w="455"/>
        <w:gridCol w:w="1936"/>
        <w:gridCol w:w="4380"/>
        <w:gridCol w:w="4584"/>
        <w:gridCol w:w="3495"/>
        <w:gridCol w:w="528"/>
      </w:tblGrid>
      <w:tr w:rsidR="00DE2D3C" w:rsidRPr="000A7465" w14:paraId="3694B546" w14:textId="77777777" w:rsidTr="00C609F5">
        <w:trPr>
          <w:trHeight w:val="179"/>
        </w:trPr>
        <w:tc>
          <w:tcPr>
            <w:tcW w:w="15378" w:type="dxa"/>
            <w:gridSpan w:val="6"/>
          </w:tcPr>
          <w:p w14:paraId="0E88F110" w14:textId="4E4C8869" w:rsidR="00DE2D3C" w:rsidRPr="000A7465" w:rsidRDefault="00DE2D3C" w:rsidP="00AB54E6">
            <w:pPr>
              <w:rPr>
                <w:rFonts w:ascii="Times New Roman" w:hAnsi="Times New Roman" w:cs="Times New Roman"/>
                <w:sz w:val="18"/>
                <w:szCs w:val="18"/>
              </w:rPr>
            </w:pPr>
            <w:r w:rsidRPr="000A7465">
              <w:rPr>
                <w:rFonts w:ascii="Times New Roman" w:hAnsi="Times New Roman" w:cs="Times New Roman"/>
                <w:b/>
                <w:u w:val="single"/>
              </w:rPr>
              <w:t>Question 3: What are potential barriers to the</w:t>
            </w:r>
            <w:r w:rsidR="00E42956">
              <w:rPr>
                <w:rFonts w:ascii="Times New Roman" w:hAnsi="Times New Roman" w:cs="Times New Roman"/>
                <w:b/>
                <w:u w:val="single"/>
              </w:rPr>
              <w:t xml:space="preserve"> implementation of “</w:t>
            </w:r>
            <w:r w:rsidRPr="000A7465">
              <w:rPr>
                <w:rFonts w:ascii="Times New Roman" w:hAnsi="Times New Roman" w:cs="Times New Roman"/>
                <w:b/>
                <w:u w:val="single"/>
              </w:rPr>
              <w:t xml:space="preserve">11+”? </w:t>
            </w:r>
          </w:p>
        </w:tc>
      </w:tr>
      <w:tr w:rsidR="00DE2D3C" w:rsidRPr="000A7465" w14:paraId="25845E9D" w14:textId="77777777" w:rsidTr="00C609F5">
        <w:trPr>
          <w:gridBefore w:val="1"/>
          <w:gridAfter w:val="1"/>
          <w:wBefore w:w="455" w:type="dxa"/>
          <w:wAfter w:w="528" w:type="dxa"/>
          <w:trHeight w:val="179"/>
        </w:trPr>
        <w:tc>
          <w:tcPr>
            <w:tcW w:w="1936" w:type="dxa"/>
          </w:tcPr>
          <w:p w14:paraId="5543049F" w14:textId="60B95477" w:rsidR="00DE2D3C" w:rsidRPr="000A7465" w:rsidRDefault="00DE2D3C" w:rsidP="000F122F">
            <w:pPr>
              <w:rPr>
                <w:rFonts w:ascii="Times New Roman" w:hAnsi="Times New Roman" w:cs="Times New Roman"/>
                <w:b/>
                <w:sz w:val="18"/>
                <w:szCs w:val="18"/>
              </w:rPr>
            </w:pPr>
            <w:r w:rsidRPr="000A7465">
              <w:rPr>
                <w:rFonts w:ascii="Times New Roman" w:hAnsi="Times New Roman" w:cs="Times New Roman"/>
                <w:b/>
                <w:sz w:val="18"/>
                <w:szCs w:val="18"/>
              </w:rPr>
              <w:t>Study details</w:t>
            </w:r>
          </w:p>
        </w:tc>
        <w:tc>
          <w:tcPr>
            <w:tcW w:w="4380" w:type="dxa"/>
          </w:tcPr>
          <w:p w14:paraId="07153769" w14:textId="40EA3D1C" w:rsidR="00DE2D3C" w:rsidRPr="000A7465" w:rsidRDefault="00DE2D3C" w:rsidP="000F122F">
            <w:pPr>
              <w:rPr>
                <w:rFonts w:ascii="Times New Roman" w:hAnsi="Times New Roman" w:cs="Times New Roman"/>
                <w:sz w:val="18"/>
                <w:szCs w:val="18"/>
              </w:rPr>
            </w:pPr>
            <w:r w:rsidRPr="000A7465">
              <w:rPr>
                <w:rFonts w:ascii="Times New Roman" w:hAnsi="Times New Roman" w:cs="Times New Roman"/>
                <w:b/>
                <w:sz w:val="18"/>
                <w:szCs w:val="18"/>
              </w:rPr>
              <w:t>Population and interventions</w:t>
            </w:r>
          </w:p>
        </w:tc>
        <w:tc>
          <w:tcPr>
            <w:tcW w:w="4584" w:type="dxa"/>
          </w:tcPr>
          <w:p w14:paraId="53FB5CFC" w14:textId="753739E1" w:rsidR="00DE2D3C" w:rsidRPr="000A7465" w:rsidRDefault="00DE2D3C" w:rsidP="000F122F">
            <w:pPr>
              <w:rPr>
                <w:rFonts w:ascii="Times New Roman" w:hAnsi="Times New Roman" w:cs="Times New Roman"/>
                <w:b/>
                <w:sz w:val="18"/>
                <w:szCs w:val="18"/>
              </w:rPr>
            </w:pPr>
            <w:r w:rsidRPr="000A7465">
              <w:rPr>
                <w:rFonts w:ascii="Times New Roman" w:hAnsi="Times New Roman" w:cs="Times New Roman"/>
                <w:b/>
                <w:sz w:val="18"/>
                <w:szCs w:val="18"/>
              </w:rPr>
              <w:t xml:space="preserve">Relevant results </w:t>
            </w:r>
          </w:p>
        </w:tc>
        <w:tc>
          <w:tcPr>
            <w:tcW w:w="3495" w:type="dxa"/>
          </w:tcPr>
          <w:p w14:paraId="6D2AFEF8" w14:textId="62B45D5B" w:rsidR="00DE2D3C" w:rsidRPr="000A7465" w:rsidRDefault="00DE2D3C" w:rsidP="000F122F">
            <w:pPr>
              <w:rPr>
                <w:rFonts w:ascii="Times New Roman" w:hAnsi="Times New Roman" w:cs="Times New Roman"/>
                <w:b/>
                <w:sz w:val="18"/>
                <w:szCs w:val="18"/>
              </w:rPr>
            </w:pPr>
            <w:r w:rsidRPr="000A7465">
              <w:rPr>
                <w:rFonts w:ascii="Times New Roman" w:hAnsi="Times New Roman" w:cs="Times New Roman"/>
                <w:b/>
                <w:sz w:val="18"/>
                <w:szCs w:val="18"/>
              </w:rPr>
              <w:t>Conclusions/Limitations</w:t>
            </w:r>
          </w:p>
        </w:tc>
      </w:tr>
      <w:tr w:rsidR="00DE2D3C" w:rsidRPr="000A7465" w14:paraId="2FBCA0BF" w14:textId="77777777" w:rsidTr="00C609F5">
        <w:trPr>
          <w:gridBefore w:val="1"/>
          <w:gridAfter w:val="1"/>
          <w:wBefore w:w="455" w:type="dxa"/>
          <w:wAfter w:w="528" w:type="dxa"/>
          <w:trHeight w:val="179"/>
        </w:trPr>
        <w:tc>
          <w:tcPr>
            <w:tcW w:w="1936" w:type="dxa"/>
          </w:tcPr>
          <w:p w14:paraId="5C11E058" w14:textId="7BE58E3E" w:rsidR="00DE2D3C" w:rsidRPr="000A7465" w:rsidRDefault="00DE2D3C" w:rsidP="000F122F">
            <w:pPr>
              <w:rPr>
                <w:rFonts w:ascii="Times New Roman" w:hAnsi="Times New Roman" w:cs="Times New Roman"/>
                <w:sz w:val="18"/>
                <w:szCs w:val="18"/>
              </w:rPr>
            </w:pPr>
            <w:r w:rsidRPr="000A7465">
              <w:rPr>
                <w:rFonts w:ascii="Times New Roman" w:hAnsi="Times New Roman" w:cs="Times New Roman"/>
                <w:b/>
                <w:sz w:val="18"/>
                <w:szCs w:val="18"/>
              </w:rPr>
              <w:t>Author/Year</w:t>
            </w:r>
            <w:r w:rsidRPr="000A7465">
              <w:rPr>
                <w:rFonts w:ascii="Times New Roman" w:hAnsi="Times New Roman" w:cs="Times New Roman"/>
                <w:sz w:val="18"/>
                <w:szCs w:val="18"/>
              </w:rPr>
              <w:t>: Steffen et al (2013)</w:t>
            </w:r>
            <w:r w:rsidRPr="000A7465">
              <w:rPr>
                <w:rFonts w:ascii="Times New Roman" w:hAnsi="Times New Roman" w:cs="Times New Roman"/>
                <w:sz w:val="18"/>
                <w:szCs w:val="18"/>
              </w:rPr>
              <w:fldChar w:fldCharType="begin"/>
            </w:r>
            <w:r w:rsidR="009D18FB" w:rsidRPr="000A7465">
              <w:rPr>
                <w:rFonts w:ascii="Times New Roman" w:hAnsi="Times New Roman" w:cs="Times New Roman"/>
                <w:sz w:val="18"/>
                <w:szCs w:val="18"/>
              </w:rPr>
              <w:instrText>ADDIN F1000_CSL_CITATION&lt;~#@#~&gt;[{"DOI":"10.1136/bjsports-2012-091887","First":false,"Last":false,"PMID":"23486935","abstract":"&lt;strong&gt;BACKGROUND:&lt;/strong&gt; Injury prevention programme delivery on adherence and injury risk, specifically involving regular supervisions with coaches and players on programme execution on field, has not been examined.&lt;br&gt;&lt;br&gt;&lt;strong&gt;AIM:&lt;/strong&gt; The objective of this cluster-randomised study was to evaluate different delivery methods of an effective injury prevention programme (FIFA 11+) on adherence and injury risk among female youth football teams.&lt;br&gt;&lt;br&gt;&lt;strong&gt;METHOD:&lt;/strong&gt; During the 4-month 2011 football season, coaches and 13-year-old to 18-year-old players from 31 tier 1-3 level teams were introduced to the 11+ through either an unsupervised website ('control') or a coach-focused workshop with ('comprehensive') and without ('regular') additional supervisions by a physiotherapist. Team and player adherence to the 11+, playing exposure, history and injuries were recorded.&lt;br&gt;&lt;br&gt;&lt;strong&gt;RESULTS:&lt;/strong&gt; Teams in the comprehensive and regular intervention groups demonstrated adherence to the 11+ programme of 85.6% and 81.3% completion of total possible sessions, compared to 73.5% for teams in the control group. These differences were not statistically significant, after adjustment for cluster by team, age, level and injury history. Compared to players with low adherence, players with high adherence to the 11+ had a 57% lower injury risk (IRR 0.43, 95% CI 0.19 to 1.00). However, adjusting for covariates, this between-group difference was not statistically significant (IRR=0.44, 95% CI 0.18 to 1.06).&lt;br&gt;&lt;br&gt;&lt;strong&gt;CONCLUSION:&lt;/strong&gt; Following a coach workshop, coach-led delivery of the FIFA 11+ was equally successful with or without the additional field involvement of a physiotherapist. Proper education of coaches during an extensive preseason workshop was more effective in terms of team adherence than an unsupervised delivery of the 11+ programme to the team.&lt;br&gt;&lt;br&gt;&lt;strong&gt;TRIAL REGISTRATION:&lt;/strong&gt; ISRCTN67835569.","author":[{"family":"Steffen","given":"Kathrin"},{"family":"Meeuwisse","given":"Willem H"},{"family":"Romiti","given":"Maria"},{"family":"Kang","given":"Jian"},{"family":"McKay","given":"Carly"},{"family":"Bizzini","given":"Mario"},{"family":"Dvorak","given":"Jiri"},{"family":"Finch","given":"Caroline"},{"family":"Myklebust","given":"Grethe"},{"family":"Emery","given":"Carolyn A"}],"citation-label":"6280540","container-title":"British Journal of Sports Medicine","container-title-short":"Br. J. Sports Med.","id":"6280540","invisible":false,"issue":"8","issued":{"date-parts":[["2013","5"]]},"journalAbbreviation":"Br. J. Sports Med.","page":"480-487","suppress-author":false,"title":"Evaluation of how different implementation strategies of an injury prevention programme (FIFA 11+) impact team adherence and injury risk in Canadian female youth football players: a cluster-randomised trial.","type":"article-journal","volume":"47"}]</w:instrText>
            </w:r>
            <w:r w:rsidRPr="000A7465">
              <w:rPr>
                <w:rFonts w:ascii="Times New Roman" w:hAnsi="Times New Roman" w:cs="Times New Roman"/>
                <w:sz w:val="18"/>
                <w:szCs w:val="18"/>
              </w:rPr>
              <w:fldChar w:fldCharType="separate"/>
            </w:r>
            <w:r w:rsidR="00502F90" w:rsidRPr="000A7465">
              <w:rPr>
                <w:rFonts w:ascii="Times New Roman" w:hAnsi="Times New Roman" w:cs="Times New Roman"/>
                <w:sz w:val="18"/>
                <w:szCs w:val="18"/>
                <w:vertAlign w:val="superscript"/>
              </w:rPr>
              <w:t>9</w:t>
            </w:r>
            <w:r w:rsidRPr="000A7465">
              <w:rPr>
                <w:rFonts w:ascii="Times New Roman" w:hAnsi="Times New Roman" w:cs="Times New Roman"/>
                <w:sz w:val="18"/>
                <w:szCs w:val="18"/>
              </w:rPr>
              <w:fldChar w:fldCharType="end"/>
            </w:r>
          </w:p>
          <w:p w14:paraId="34D8853C" w14:textId="77777777" w:rsidR="00DE2D3C" w:rsidRPr="000A7465" w:rsidRDefault="00DE2D3C" w:rsidP="000F122F">
            <w:pPr>
              <w:rPr>
                <w:rFonts w:ascii="Times New Roman" w:hAnsi="Times New Roman" w:cs="Times New Roman"/>
                <w:sz w:val="18"/>
                <w:szCs w:val="18"/>
              </w:rPr>
            </w:pPr>
          </w:p>
          <w:p w14:paraId="717C0C89" w14:textId="77777777" w:rsidR="00DE2D3C" w:rsidRPr="000A7465" w:rsidRDefault="00DE2D3C" w:rsidP="000F122F">
            <w:pPr>
              <w:rPr>
                <w:rFonts w:ascii="Times New Roman" w:hAnsi="Times New Roman" w:cs="Times New Roman"/>
                <w:sz w:val="18"/>
                <w:szCs w:val="18"/>
              </w:rPr>
            </w:pPr>
            <w:r w:rsidRPr="000A7465">
              <w:rPr>
                <w:rFonts w:ascii="Times New Roman" w:hAnsi="Times New Roman" w:cs="Times New Roman"/>
                <w:b/>
                <w:sz w:val="18"/>
                <w:szCs w:val="18"/>
              </w:rPr>
              <w:t>Study Design</w:t>
            </w:r>
            <w:r w:rsidRPr="000A7465">
              <w:rPr>
                <w:rFonts w:ascii="Times New Roman" w:hAnsi="Times New Roman" w:cs="Times New Roman"/>
                <w:sz w:val="18"/>
                <w:szCs w:val="18"/>
              </w:rPr>
              <w:t>: cluster-randomized controlled trial</w:t>
            </w:r>
          </w:p>
          <w:p w14:paraId="3EF9D762" w14:textId="77777777" w:rsidR="00DE2D3C" w:rsidRPr="000A7465" w:rsidRDefault="00DE2D3C" w:rsidP="000F122F">
            <w:pPr>
              <w:rPr>
                <w:rFonts w:ascii="Times New Roman" w:hAnsi="Times New Roman" w:cs="Times New Roman"/>
                <w:sz w:val="18"/>
                <w:szCs w:val="18"/>
              </w:rPr>
            </w:pPr>
          </w:p>
          <w:p w14:paraId="11C8AEEF" w14:textId="77777777" w:rsidR="00DE2D3C" w:rsidRPr="000A7465" w:rsidRDefault="00DE2D3C" w:rsidP="000F122F">
            <w:pPr>
              <w:rPr>
                <w:rFonts w:ascii="Times New Roman" w:hAnsi="Times New Roman" w:cs="Times New Roman"/>
                <w:sz w:val="18"/>
                <w:szCs w:val="18"/>
              </w:rPr>
            </w:pPr>
            <w:r w:rsidRPr="000A7465">
              <w:rPr>
                <w:rFonts w:ascii="Times New Roman" w:hAnsi="Times New Roman" w:cs="Times New Roman"/>
                <w:b/>
                <w:sz w:val="18"/>
                <w:szCs w:val="18"/>
              </w:rPr>
              <w:t>Level of evidence</w:t>
            </w:r>
            <w:r w:rsidRPr="000A7465">
              <w:rPr>
                <w:rFonts w:ascii="Times New Roman" w:hAnsi="Times New Roman" w:cs="Times New Roman"/>
                <w:sz w:val="18"/>
                <w:szCs w:val="18"/>
              </w:rPr>
              <w:t xml:space="preserve">: 1a </w:t>
            </w:r>
          </w:p>
          <w:p w14:paraId="5AEBC29E" w14:textId="77777777" w:rsidR="00DE2D3C" w:rsidRPr="000A7465" w:rsidRDefault="00DE2D3C" w:rsidP="000F122F">
            <w:pPr>
              <w:rPr>
                <w:rFonts w:ascii="Times New Roman" w:hAnsi="Times New Roman" w:cs="Times New Roman"/>
                <w:sz w:val="18"/>
                <w:szCs w:val="18"/>
              </w:rPr>
            </w:pPr>
          </w:p>
          <w:p w14:paraId="2195FF4B" w14:textId="77777777" w:rsidR="00DE2D3C" w:rsidRPr="000A7465" w:rsidRDefault="00DE2D3C" w:rsidP="000F122F">
            <w:pPr>
              <w:rPr>
                <w:rFonts w:ascii="Times New Roman" w:hAnsi="Times New Roman" w:cs="Times New Roman"/>
                <w:sz w:val="18"/>
                <w:szCs w:val="18"/>
              </w:rPr>
            </w:pPr>
            <w:r w:rsidRPr="000A7465">
              <w:rPr>
                <w:rFonts w:ascii="Times New Roman" w:hAnsi="Times New Roman" w:cs="Times New Roman"/>
                <w:b/>
                <w:sz w:val="18"/>
                <w:szCs w:val="18"/>
              </w:rPr>
              <w:t>Risk of bias</w:t>
            </w:r>
            <w:r w:rsidRPr="000A7465">
              <w:rPr>
                <w:rFonts w:ascii="Times New Roman" w:hAnsi="Times New Roman" w:cs="Times New Roman"/>
                <w:sz w:val="18"/>
                <w:szCs w:val="18"/>
              </w:rPr>
              <w:t>: 5/10 (</w:t>
            </w:r>
            <w:proofErr w:type="spellStart"/>
            <w:r w:rsidRPr="000A7465">
              <w:rPr>
                <w:rFonts w:ascii="Times New Roman" w:hAnsi="Times New Roman" w:cs="Times New Roman"/>
                <w:sz w:val="18"/>
                <w:szCs w:val="18"/>
              </w:rPr>
              <w:t>PEDro</w:t>
            </w:r>
            <w:proofErr w:type="spellEnd"/>
            <w:r w:rsidRPr="000A7465">
              <w:rPr>
                <w:rFonts w:ascii="Times New Roman" w:hAnsi="Times New Roman" w:cs="Times New Roman"/>
                <w:sz w:val="18"/>
                <w:szCs w:val="18"/>
              </w:rPr>
              <w:t>)</w:t>
            </w:r>
          </w:p>
          <w:p w14:paraId="126F9633" w14:textId="77777777" w:rsidR="00DE2D3C" w:rsidRPr="000A7465" w:rsidRDefault="00DE2D3C" w:rsidP="000F122F">
            <w:pPr>
              <w:rPr>
                <w:rFonts w:ascii="Times New Roman" w:hAnsi="Times New Roman" w:cs="Times New Roman"/>
                <w:sz w:val="18"/>
                <w:szCs w:val="18"/>
              </w:rPr>
            </w:pPr>
          </w:p>
          <w:p w14:paraId="5DE1CD9C" w14:textId="77777777" w:rsidR="00DE2D3C" w:rsidRPr="000A7465" w:rsidRDefault="00DE2D3C" w:rsidP="000F122F">
            <w:pPr>
              <w:rPr>
                <w:rFonts w:ascii="Times New Roman" w:hAnsi="Times New Roman" w:cs="Times New Roman"/>
                <w:sz w:val="18"/>
                <w:szCs w:val="18"/>
              </w:rPr>
            </w:pPr>
            <w:r w:rsidRPr="000A7465">
              <w:rPr>
                <w:rFonts w:ascii="Times New Roman" w:hAnsi="Times New Roman" w:cs="Times New Roman"/>
                <w:b/>
                <w:sz w:val="18"/>
                <w:szCs w:val="18"/>
              </w:rPr>
              <w:t>Aim</w:t>
            </w:r>
            <w:r w:rsidRPr="000A7465">
              <w:rPr>
                <w:rFonts w:ascii="Times New Roman" w:hAnsi="Times New Roman" w:cs="Times New Roman"/>
                <w:sz w:val="18"/>
                <w:szCs w:val="18"/>
              </w:rPr>
              <w:t>: compare various delivery methods of injury prevention programs, and determine their impact on adherence and injury risk</w:t>
            </w:r>
          </w:p>
          <w:p w14:paraId="1EF930B0" w14:textId="599FA1DF" w:rsidR="00DE2D3C" w:rsidRPr="000A7465" w:rsidRDefault="00DE2D3C" w:rsidP="00333AB0">
            <w:pPr>
              <w:rPr>
                <w:rFonts w:ascii="Times New Roman" w:hAnsi="Times New Roman" w:cs="Times New Roman"/>
                <w:b/>
                <w:sz w:val="18"/>
                <w:szCs w:val="18"/>
              </w:rPr>
            </w:pPr>
          </w:p>
        </w:tc>
        <w:tc>
          <w:tcPr>
            <w:tcW w:w="4380" w:type="dxa"/>
          </w:tcPr>
          <w:p w14:paraId="3A99C485" w14:textId="16046E2D" w:rsidR="00DE2D3C" w:rsidRPr="000A7465" w:rsidRDefault="00DE2D3C" w:rsidP="000F122F">
            <w:pPr>
              <w:rPr>
                <w:rFonts w:ascii="Times New Roman" w:hAnsi="Times New Roman" w:cs="Times New Roman"/>
                <w:sz w:val="18"/>
                <w:szCs w:val="18"/>
              </w:rPr>
            </w:pPr>
            <w:r w:rsidRPr="000A7465">
              <w:rPr>
                <w:rFonts w:ascii="Times New Roman" w:hAnsi="Times New Roman" w:cs="Times New Roman"/>
                <w:sz w:val="18"/>
                <w:szCs w:val="18"/>
              </w:rPr>
              <w:t xml:space="preserve">(same </w:t>
            </w:r>
            <w:r w:rsidRPr="000A7465">
              <w:rPr>
                <w:rFonts w:ascii="Times New Roman" w:hAnsi="Times New Roman" w:cs="Times New Roman"/>
                <w:b/>
                <w:sz w:val="18"/>
                <w:szCs w:val="18"/>
              </w:rPr>
              <w:t>population, intervention and control</w:t>
            </w:r>
            <w:r w:rsidRPr="000A7465">
              <w:rPr>
                <w:rFonts w:ascii="Times New Roman" w:hAnsi="Times New Roman" w:cs="Times New Roman"/>
                <w:sz w:val="18"/>
                <w:szCs w:val="18"/>
              </w:rPr>
              <w:t xml:space="preserve"> outlined in </w:t>
            </w:r>
            <w:r w:rsidR="004E2A12" w:rsidRPr="000A7465">
              <w:rPr>
                <w:rFonts w:ascii="Times New Roman" w:hAnsi="Times New Roman" w:cs="Times New Roman"/>
                <w:sz w:val="18"/>
                <w:szCs w:val="18"/>
              </w:rPr>
              <w:t xml:space="preserve">Steffen, Emery, </w:t>
            </w:r>
            <w:proofErr w:type="spellStart"/>
            <w:r w:rsidR="004E2A12" w:rsidRPr="000A7465">
              <w:rPr>
                <w:rFonts w:ascii="Times New Roman" w:hAnsi="Times New Roman" w:cs="Times New Roman"/>
                <w:sz w:val="18"/>
                <w:szCs w:val="18"/>
              </w:rPr>
              <w:t>Romiti</w:t>
            </w:r>
            <w:proofErr w:type="spellEnd"/>
            <w:r w:rsidR="004E2A12" w:rsidRPr="000A7465">
              <w:rPr>
                <w:rFonts w:ascii="Times New Roman" w:hAnsi="Times New Roman" w:cs="Times New Roman"/>
                <w:sz w:val="18"/>
                <w:szCs w:val="18"/>
              </w:rPr>
              <w:t>,</w:t>
            </w:r>
            <w:r w:rsidRPr="000A7465">
              <w:rPr>
                <w:rFonts w:ascii="Times New Roman" w:hAnsi="Times New Roman" w:cs="Times New Roman"/>
                <w:sz w:val="18"/>
                <w:szCs w:val="18"/>
              </w:rPr>
              <w:t xml:space="preserve"> et al.</w:t>
            </w:r>
            <w:r w:rsidR="004E2A12" w:rsidRPr="000A7465">
              <w:rPr>
                <w:rFonts w:ascii="Times New Roman" w:hAnsi="Times New Roman" w:cs="Times New Roman"/>
                <w:sz w:val="18"/>
                <w:szCs w:val="18"/>
              </w:rPr>
              <w:t xml:space="preserve"> (2013)</w:t>
            </w:r>
            <w:r w:rsidRPr="000A7465">
              <w:rPr>
                <w:rFonts w:ascii="Times New Roman" w:hAnsi="Times New Roman" w:cs="Times New Roman"/>
                <w:sz w:val="18"/>
                <w:szCs w:val="18"/>
              </w:rPr>
              <w:t>.</w:t>
            </w:r>
            <w:r w:rsidR="0014011D" w:rsidRPr="000A7465">
              <w:rPr>
                <w:rFonts w:ascii="Times New Roman" w:hAnsi="Times New Roman" w:cs="Times New Roman"/>
                <w:sz w:val="18"/>
                <w:szCs w:val="18"/>
              </w:rPr>
              <w:fldChar w:fldCharType="begin"/>
            </w:r>
            <w:r w:rsidR="009D18FB" w:rsidRPr="000A7465">
              <w:rPr>
                <w:rFonts w:ascii="Times New Roman" w:hAnsi="Times New Roman" w:cs="Times New Roman"/>
                <w:sz w:val="18"/>
                <w:szCs w:val="18"/>
              </w:rPr>
              <w:instrText>ADDIN F1000_CSL_CITATION&lt;~#@#~&gt;[{"DOI":"10.1136/bjsports-2012-091886","First":false,"Last":false,"PMID":"23559666","abstract":"&lt;strong&gt;BACKGROUND:&lt;/strong&gt; A protective effect on injury risk in youth sports through neuromuscular warm-up training routines has consistently been demonstrated. However, there is a paucity of information regarding the quantity and quality of coach-led injury prevention programmes and its impact on the physical performance of players.&lt;br&gt;&lt;br&gt;&lt;strong&gt;OBJECTIVE:&lt;/strong&gt; The aim of this cluster-randomised controlled trial was to assess whether different delivery methods of an injury prevention programme (FIFA 11+) to coaches could improve player performance, and to examine the effect of player adherence on performance and injury risk.&lt;br&gt;&lt;br&gt;&lt;strong&gt;METHOD:&lt;/strong&gt; During the 2011 football season (May-August), coaches of 31 tiers 1-3 level teams were introduced to the 11+ through either an unsupervised website or a coach-focused workshop with and without additional on-field supervisions. Playing exposure, adherence to the 11+, and injuries were recorded for female 13-year-old to 18-year-old players. Performance testing included the Star Excursion Balance Test (SEBT), single-leg balance, triple hop and jumping-over-a-bar tests.&lt;br&gt;&lt;br&gt;&lt;strong&gt;RESULTS:&lt;/strong&gt; Complete preseason and postseason performance tests were available for 226 players (66.5%). Compared to the unsupervised group, single-leg balance (OR=2.8; 95% CI 1.1 to 4.6) and the anterior direction of the SEBT improved significantly in the onfield supervised group of players (OR=4.7; 95% CI 2.2 to 7.1), while 2-leg jumping performance decreased (OR=-5.1; 95% CI -9.9 to -0.2). However, significant improvements in 5 of 6 reach distances in the SEBT were found, favouring players who highly adhered to the 11+. Also, injury risk was lower for those players (injury rate ratio, IRR=0.28, 95% CI 0.10 to 0.79).&lt;br&gt;&lt;br&gt;&lt;strong&gt;CONCLUSIONS:&lt;/strong&gt; Different delivery methods of the FIFA 11+ to coaches influenced players' physical performance minimally. However, high player adherence to the 11+ resulted in significant improvements in functional balance and reduced injury risk.","author":[{"family":"Steffen","given":"Kathrin"},{"family":"Emery","given":"Carolyn A"},{"family":"Romiti","given":"Maria"},{"family":"Kang","given":"Jian"},{"family":"Bizzini","given":"Mario"},{"family":"Dvorak","given":"Jiri"},{"family":"Finch","given":"Caroline F"},{"family":"Meeuwisse","given":"Willem H"}],"citation-label":"6280543","container-title":"British Journal of Sports Medicine","container-title-short":"Br. J. Sports Med.","id":"6280543","invisible":false,"issue":"12","issued":{"date-parts":[["2013","8"]]},"journalAbbreviation":"Br. J. Sports Med.","page":"794-802","suppress-author":false,"title":"High adherence to a neuromuscular injury prevention programme (FIFA 11+) improves functional balance and reduces injury risk in Canadian youth female football players: a cluster randomised trial.","type":"article-journal","volume":"47"}]</w:instrText>
            </w:r>
            <w:r w:rsidR="0014011D" w:rsidRPr="000A7465">
              <w:rPr>
                <w:rFonts w:ascii="Times New Roman" w:hAnsi="Times New Roman" w:cs="Times New Roman"/>
                <w:sz w:val="18"/>
                <w:szCs w:val="18"/>
              </w:rPr>
              <w:fldChar w:fldCharType="separate"/>
            </w:r>
            <w:r w:rsidR="00502F90" w:rsidRPr="000A7465">
              <w:rPr>
                <w:rFonts w:ascii="Times New Roman" w:hAnsi="Times New Roman" w:cs="Times New Roman"/>
                <w:sz w:val="18"/>
                <w:szCs w:val="18"/>
                <w:vertAlign w:val="superscript"/>
              </w:rPr>
              <w:t>6</w:t>
            </w:r>
            <w:r w:rsidR="0014011D" w:rsidRPr="000A7465">
              <w:rPr>
                <w:rFonts w:ascii="Times New Roman" w:hAnsi="Times New Roman" w:cs="Times New Roman"/>
                <w:sz w:val="18"/>
                <w:szCs w:val="18"/>
              </w:rPr>
              <w:fldChar w:fldCharType="end"/>
            </w:r>
          </w:p>
          <w:p w14:paraId="3814FCE8" w14:textId="77777777" w:rsidR="00DE2D3C" w:rsidRPr="000A7465" w:rsidRDefault="00DE2D3C" w:rsidP="000F122F">
            <w:pPr>
              <w:rPr>
                <w:rFonts w:ascii="Times New Roman" w:hAnsi="Times New Roman" w:cs="Times New Roman"/>
                <w:sz w:val="18"/>
                <w:szCs w:val="18"/>
              </w:rPr>
            </w:pPr>
          </w:p>
          <w:p w14:paraId="18371AEA" w14:textId="77777777" w:rsidR="00DE2D3C" w:rsidRPr="000A7465" w:rsidRDefault="00DE2D3C" w:rsidP="000F122F">
            <w:pPr>
              <w:rPr>
                <w:rFonts w:ascii="Times New Roman" w:hAnsi="Times New Roman" w:cs="Times New Roman"/>
                <w:sz w:val="18"/>
                <w:szCs w:val="18"/>
              </w:rPr>
            </w:pPr>
            <w:r w:rsidRPr="000A7465">
              <w:rPr>
                <w:rFonts w:ascii="Times New Roman" w:hAnsi="Times New Roman" w:cs="Times New Roman"/>
                <w:b/>
                <w:sz w:val="18"/>
                <w:szCs w:val="18"/>
              </w:rPr>
              <w:t>Primary outcomes</w:t>
            </w:r>
            <w:r w:rsidRPr="000A7465">
              <w:rPr>
                <w:rFonts w:ascii="Times New Roman" w:hAnsi="Times New Roman" w:cs="Times New Roman"/>
                <w:sz w:val="18"/>
                <w:szCs w:val="18"/>
              </w:rPr>
              <w:t xml:space="preserve">:  </w:t>
            </w:r>
          </w:p>
          <w:p w14:paraId="58CD8AD4" w14:textId="204AE2A7" w:rsidR="00DE2D3C" w:rsidRPr="000A7465" w:rsidRDefault="00DE2D3C" w:rsidP="00333AB0">
            <w:pPr>
              <w:rPr>
                <w:rFonts w:ascii="Times New Roman" w:hAnsi="Times New Roman" w:cs="Times New Roman"/>
                <w:b/>
                <w:i/>
                <w:sz w:val="18"/>
                <w:szCs w:val="18"/>
              </w:rPr>
            </w:pPr>
            <w:r w:rsidRPr="000A7465">
              <w:rPr>
                <w:rFonts w:ascii="Times New Roman" w:hAnsi="Times New Roman" w:cs="Times New Roman"/>
                <w:sz w:val="18"/>
                <w:szCs w:val="18"/>
              </w:rPr>
              <w:t xml:space="preserve">Team adherence to </w:t>
            </w:r>
            <w:r w:rsidR="00E42956">
              <w:rPr>
                <w:rFonts w:ascii="Times New Roman" w:hAnsi="Times New Roman" w:cs="Times New Roman"/>
                <w:sz w:val="18"/>
                <w:szCs w:val="18"/>
              </w:rPr>
              <w:t>“</w:t>
            </w:r>
            <w:r w:rsidRPr="000A7465">
              <w:rPr>
                <w:rFonts w:ascii="Times New Roman" w:hAnsi="Times New Roman" w:cs="Times New Roman"/>
                <w:sz w:val="18"/>
                <w:szCs w:val="18"/>
              </w:rPr>
              <w:t>11+</w:t>
            </w:r>
            <w:r w:rsidR="00E42956">
              <w:rPr>
                <w:rFonts w:ascii="Times New Roman" w:hAnsi="Times New Roman" w:cs="Times New Roman"/>
                <w:sz w:val="18"/>
                <w:szCs w:val="18"/>
              </w:rPr>
              <w:t>”</w:t>
            </w:r>
            <w:r w:rsidRPr="000A7465">
              <w:rPr>
                <w:rFonts w:ascii="Times New Roman" w:hAnsi="Times New Roman" w:cs="Times New Roman"/>
                <w:sz w:val="18"/>
                <w:szCs w:val="18"/>
              </w:rPr>
              <w:t xml:space="preserve"> intervention, self-reported</w:t>
            </w:r>
          </w:p>
        </w:tc>
        <w:tc>
          <w:tcPr>
            <w:tcW w:w="4584" w:type="dxa"/>
          </w:tcPr>
          <w:p w14:paraId="29888A69" w14:textId="77777777" w:rsidR="00DE2D3C" w:rsidRPr="000A7465" w:rsidRDefault="00DE2D3C" w:rsidP="000F122F">
            <w:pPr>
              <w:rPr>
                <w:rFonts w:ascii="Times New Roman" w:hAnsi="Times New Roman" w:cs="Times New Roman"/>
                <w:sz w:val="18"/>
                <w:szCs w:val="18"/>
              </w:rPr>
            </w:pPr>
            <w:r w:rsidRPr="000A7465">
              <w:rPr>
                <w:rFonts w:ascii="Times New Roman" w:hAnsi="Times New Roman" w:cs="Times New Roman"/>
                <w:b/>
                <w:sz w:val="18"/>
                <w:szCs w:val="18"/>
              </w:rPr>
              <w:t>Primary Outcome</w:t>
            </w:r>
            <w:r w:rsidRPr="000A7465">
              <w:rPr>
                <w:rFonts w:ascii="Times New Roman" w:hAnsi="Times New Roman" w:cs="Times New Roman"/>
                <w:sz w:val="18"/>
                <w:szCs w:val="18"/>
              </w:rPr>
              <w:t>: Team adherence</w:t>
            </w:r>
          </w:p>
          <w:p w14:paraId="7632AD0B" w14:textId="77777777" w:rsidR="00DE2D3C" w:rsidRPr="000A7465" w:rsidRDefault="00DE2D3C" w:rsidP="000F122F">
            <w:pPr>
              <w:pStyle w:val="ListParagraph"/>
              <w:numPr>
                <w:ilvl w:val="0"/>
                <w:numId w:val="9"/>
              </w:numPr>
              <w:rPr>
                <w:rFonts w:ascii="Times New Roman" w:hAnsi="Times New Roman" w:cs="Times New Roman"/>
                <w:sz w:val="18"/>
                <w:szCs w:val="18"/>
              </w:rPr>
            </w:pPr>
            <w:r w:rsidRPr="000A7465">
              <w:rPr>
                <w:rFonts w:ascii="Times New Roman" w:hAnsi="Times New Roman" w:cs="Times New Roman"/>
                <w:sz w:val="18"/>
                <w:szCs w:val="18"/>
              </w:rPr>
              <w:t xml:space="preserve">Comprehensive: 85.5% team compliance. 12% (95% CI: 0-37.9%) higher team compliance versus control </w:t>
            </w:r>
          </w:p>
          <w:p w14:paraId="1125631A" w14:textId="77777777" w:rsidR="00DE2D3C" w:rsidRPr="000A7465" w:rsidRDefault="00DE2D3C" w:rsidP="000F122F">
            <w:pPr>
              <w:pStyle w:val="ListParagraph"/>
              <w:numPr>
                <w:ilvl w:val="1"/>
                <w:numId w:val="10"/>
              </w:numPr>
              <w:rPr>
                <w:rFonts w:ascii="Times New Roman" w:hAnsi="Times New Roman" w:cs="Times New Roman"/>
                <w:sz w:val="18"/>
                <w:szCs w:val="18"/>
              </w:rPr>
            </w:pPr>
            <w:r w:rsidRPr="000A7465">
              <w:rPr>
                <w:rFonts w:ascii="Times New Roman" w:hAnsi="Times New Roman" w:cs="Times New Roman"/>
                <w:sz w:val="18"/>
                <w:szCs w:val="18"/>
              </w:rPr>
              <w:t>not statistically significant when adjusted for cluster, age, level of play and previous injuries) – 4.9% (95% CI: 0-36.0)</w:t>
            </w:r>
          </w:p>
          <w:p w14:paraId="6257A9B2" w14:textId="77777777" w:rsidR="00DE2D3C" w:rsidRPr="000A7465" w:rsidRDefault="00DE2D3C" w:rsidP="000F122F">
            <w:pPr>
              <w:pStyle w:val="ListParagraph"/>
              <w:numPr>
                <w:ilvl w:val="0"/>
                <w:numId w:val="9"/>
              </w:numPr>
              <w:rPr>
                <w:rFonts w:ascii="Times New Roman" w:hAnsi="Times New Roman" w:cs="Times New Roman"/>
                <w:sz w:val="18"/>
                <w:szCs w:val="18"/>
              </w:rPr>
            </w:pPr>
            <w:r w:rsidRPr="000A7465">
              <w:rPr>
                <w:rFonts w:ascii="Times New Roman" w:hAnsi="Times New Roman" w:cs="Times New Roman"/>
                <w:sz w:val="18"/>
                <w:szCs w:val="18"/>
              </w:rPr>
              <w:t xml:space="preserve">Regular: 81.3% team compliance. 8% (95% CI: 0-39.9) higher team compliance versus control </w:t>
            </w:r>
          </w:p>
          <w:p w14:paraId="5815F5EB" w14:textId="77777777" w:rsidR="00DE2D3C" w:rsidRPr="000A7465" w:rsidRDefault="00DE2D3C" w:rsidP="000F122F">
            <w:pPr>
              <w:pStyle w:val="ListParagraph"/>
              <w:numPr>
                <w:ilvl w:val="1"/>
                <w:numId w:val="10"/>
              </w:numPr>
              <w:rPr>
                <w:rFonts w:ascii="Times New Roman" w:hAnsi="Times New Roman" w:cs="Times New Roman"/>
                <w:sz w:val="18"/>
                <w:szCs w:val="18"/>
              </w:rPr>
            </w:pPr>
            <w:r w:rsidRPr="000A7465">
              <w:rPr>
                <w:rFonts w:ascii="Times New Roman" w:hAnsi="Times New Roman" w:cs="Times New Roman"/>
                <w:sz w:val="18"/>
                <w:szCs w:val="18"/>
              </w:rPr>
              <w:t>not statistically significant when adjusted for cluster, age, level of play and previous injuries) – 6.4% (95% CI: 0-51.7)</w:t>
            </w:r>
          </w:p>
          <w:p w14:paraId="5D88138F" w14:textId="77777777" w:rsidR="00DE2D3C" w:rsidRPr="000A7465" w:rsidRDefault="00DE2D3C" w:rsidP="000F122F">
            <w:pPr>
              <w:pStyle w:val="ListParagraph"/>
              <w:numPr>
                <w:ilvl w:val="0"/>
                <w:numId w:val="10"/>
              </w:numPr>
              <w:rPr>
                <w:rFonts w:ascii="Times New Roman" w:hAnsi="Times New Roman" w:cs="Times New Roman"/>
                <w:sz w:val="18"/>
                <w:szCs w:val="18"/>
              </w:rPr>
            </w:pPr>
            <w:r w:rsidRPr="000A7465">
              <w:rPr>
                <w:rFonts w:ascii="Times New Roman" w:hAnsi="Times New Roman" w:cs="Times New Roman"/>
                <w:sz w:val="18"/>
                <w:szCs w:val="18"/>
              </w:rPr>
              <w:t>Control: 73.5% team compliance</w:t>
            </w:r>
          </w:p>
          <w:p w14:paraId="486330F6" w14:textId="77777777" w:rsidR="00DE2D3C" w:rsidRPr="000A7465" w:rsidRDefault="00DE2D3C" w:rsidP="000F122F">
            <w:pPr>
              <w:ind w:left="72"/>
              <w:rPr>
                <w:rFonts w:ascii="Times New Roman" w:hAnsi="Times New Roman" w:cs="Times New Roman"/>
                <w:sz w:val="18"/>
                <w:szCs w:val="18"/>
              </w:rPr>
            </w:pPr>
          </w:p>
          <w:p w14:paraId="205A294E" w14:textId="77777777" w:rsidR="00DE2D3C" w:rsidRPr="000A7465" w:rsidRDefault="00DE2D3C" w:rsidP="000F122F">
            <w:pPr>
              <w:ind w:left="72"/>
              <w:rPr>
                <w:rFonts w:ascii="Times New Roman" w:hAnsi="Times New Roman" w:cs="Times New Roman"/>
                <w:sz w:val="18"/>
                <w:szCs w:val="18"/>
              </w:rPr>
            </w:pPr>
            <w:r w:rsidRPr="000A7465">
              <w:rPr>
                <w:rFonts w:ascii="Times New Roman" w:hAnsi="Times New Roman" w:cs="Times New Roman"/>
                <w:b/>
                <w:sz w:val="18"/>
                <w:szCs w:val="18"/>
              </w:rPr>
              <w:t>Secondary Outcomes</w:t>
            </w:r>
            <w:r w:rsidRPr="000A7465">
              <w:rPr>
                <w:rFonts w:ascii="Times New Roman" w:hAnsi="Times New Roman" w:cs="Times New Roman"/>
                <w:sz w:val="18"/>
                <w:szCs w:val="18"/>
              </w:rPr>
              <w:t>: injury reduction and compliance</w:t>
            </w:r>
          </w:p>
          <w:p w14:paraId="6053DE60" w14:textId="05397383" w:rsidR="00DE2D3C" w:rsidRPr="000A7465" w:rsidRDefault="00DE2D3C" w:rsidP="000667CC">
            <w:pPr>
              <w:pStyle w:val="ListParagraph"/>
              <w:numPr>
                <w:ilvl w:val="0"/>
                <w:numId w:val="10"/>
              </w:numPr>
              <w:rPr>
                <w:rFonts w:ascii="Times New Roman" w:hAnsi="Times New Roman" w:cs="Times New Roman"/>
                <w:sz w:val="18"/>
                <w:szCs w:val="18"/>
              </w:rPr>
            </w:pPr>
            <w:r w:rsidRPr="000A7465">
              <w:rPr>
                <w:rFonts w:ascii="Times New Roman" w:hAnsi="Times New Roman" w:cs="Times New Roman"/>
                <w:sz w:val="18"/>
                <w:szCs w:val="18"/>
              </w:rPr>
              <w:t>Players with high adherence (210-435 exercises performed over the season) had a 57% lower risk of injury versus players with low adherence (0-108 exercises performed over the season) (IRR 0.43, 95% CI 0.19-1.00), but not statistically significant when adjusting for group differences (IRR 0.44, 95% CI 0.18-1.06)</w:t>
            </w:r>
          </w:p>
        </w:tc>
        <w:tc>
          <w:tcPr>
            <w:tcW w:w="3495" w:type="dxa"/>
          </w:tcPr>
          <w:p w14:paraId="24CE0B6D" w14:textId="77777777" w:rsidR="00DE2D3C" w:rsidRPr="000A7465" w:rsidRDefault="00DE2D3C" w:rsidP="000F122F">
            <w:pPr>
              <w:rPr>
                <w:rFonts w:ascii="Times New Roman" w:hAnsi="Times New Roman" w:cs="Times New Roman"/>
                <w:sz w:val="18"/>
                <w:szCs w:val="18"/>
              </w:rPr>
            </w:pPr>
            <w:r w:rsidRPr="000A7465">
              <w:rPr>
                <w:rFonts w:ascii="Times New Roman" w:hAnsi="Times New Roman" w:cs="Times New Roman"/>
                <w:b/>
                <w:sz w:val="18"/>
                <w:szCs w:val="18"/>
              </w:rPr>
              <w:t>Author’s Conclusions</w:t>
            </w:r>
            <w:r w:rsidRPr="000A7465">
              <w:rPr>
                <w:rFonts w:ascii="Times New Roman" w:hAnsi="Times New Roman" w:cs="Times New Roman"/>
                <w:sz w:val="18"/>
                <w:szCs w:val="18"/>
              </w:rPr>
              <w:t xml:space="preserve">: </w:t>
            </w:r>
          </w:p>
          <w:p w14:paraId="0F992D51" w14:textId="19A1B53B" w:rsidR="00DE2D3C" w:rsidRPr="000A7465" w:rsidRDefault="00DE2D3C" w:rsidP="000F122F">
            <w:pPr>
              <w:rPr>
                <w:rFonts w:ascii="Times New Roman" w:hAnsi="Times New Roman" w:cs="Times New Roman"/>
                <w:sz w:val="18"/>
                <w:szCs w:val="18"/>
              </w:rPr>
            </w:pPr>
            <w:r w:rsidRPr="000A7465">
              <w:rPr>
                <w:rFonts w:ascii="Times New Roman" w:hAnsi="Times New Roman" w:cs="Times New Roman"/>
                <w:sz w:val="18"/>
                <w:szCs w:val="18"/>
              </w:rPr>
              <w:t xml:space="preserve">“Following a coach workshop, coach-led delivery of the FIFA 11+ was equally successful with or without the additional field involvement of a physiotherapist.” Coach education through preseason workshop was more effective in improving adherence versus unsupervised instruction of the </w:t>
            </w:r>
            <w:r w:rsidR="00E42956">
              <w:rPr>
                <w:rFonts w:ascii="Times New Roman" w:hAnsi="Times New Roman" w:cs="Times New Roman"/>
                <w:sz w:val="18"/>
                <w:szCs w:val="18"/>
              </w:rPr>
              <w:t>“</w:t>
            </w:r>
            <w:r w:rsidRPr="000A7465">
              <w:rPr>
                <w:rFonts w:ascii="Times New Roman" w:hAnsi="Times New Roman" w:cs="Times New Roman"/>
                <w:sz w:val="18"/>
                <w:szCs w:val="18"/>
              </w:rPr>
              <w:t>11+</w:t>
            </w:r>
            <w:r w:rsidR="00E42956">
              <w:rPr>
                <w:rFonts w:ascii="Times New Roman" w:hAnsi="Times New Roman" w:cs="Times New Roman"/>
                <w:sz w:val="18"/>
                <w:szCs w:val="18"/>
              </w:rPr>
              <w:t>.”</w:t>
            </w:r>
          </w:p>
          <w:p w14:paraId="026C324E" w14:textId="77777777" w:rsidR="00DE2D3C" w:rsidRPr="000A7465" w:rsidRDefault="00DE2D3C" w:rsidP="000F122F">
            <w:pPr>
              <w:rPr>
                <w:rFonts w:ascii="Times New Roman" w:hAnsi="Times New Roman" w:cs="Times New Roman"/>
                <w:sz w:val="18"/>
                <w:szCs w:val="18"/>
              </w:rPr>
            </w:pPr>
          </w:p>
          <w:p w14:paraId="0BD27E74" w14:textId="77777777" w:rsidR="00DE2D3C" w:rsidRPr="000A7465" w:rsidRDefault="00DE2D3C" w:rsidP="000F122F">
            <w:pPr>
              <w:rPr>
                <w:rFonts w:ascii="Times New Roman" w:hAnsi="Times New Roman" w:cs="Times New Roman"/>
                <w:sz w:val="18"/>
                <w:szCs w:val="18"/>
              </w:rPr>
            </w:pPr>
          </w:p>
          <w:p w14:paraId="2549F0C0" w14:textId="3D149940" w:rsidR="00DE2D3C" w:rsidRPr="000A7465" w:rsidRDefault="00DE2D3C" w:rsidP="000F122F">
            <w:pPr>
              <w:rPr>
                <w:rFonts w:ascii="Times New Roman" w:hAnsi="Times New Roman" w:cs="Times New Roman"/>
                <w:sz w:val="18"/>
                <w:szCs w:val="18"/>
              </w:rPr>
            </w:pPr>
            <w:r w:rsidRPr="000A7465">
              <w:rPr>
                <w:rFonts w:ascii="Times New Roman" w:hAnsi="Times New Roman" w:cs="Times New Roman"/>
                <w:sz w:val="18"/>
                <w:szCs w:val="18"/>
              </w:rPr>
              <w:t>(see Steffen et al 2013</w:t>
            </w:r>
            <w:r w:rsidRPr="000A7465">
              <w:rPr>
                <w:rFonts w:ascii="Times New Roman" w:hAnsi="Times New Roman" w:cs="Times New Roman"/>
                <w:sz w:val="18"/>
                <w:szCs w:val="18"/>
              </w:rPr>
              <w:fldChar w:fldCharType="begin"/>
            </w:r>
            <w:r w:rsidR="009D18FB" w:rsidRPr="000A7465">
              <w:rPr>
                <w:rFonts w:ascii="Times New Roman" w:hAnsi="Times New Roman" w:cs="Times New Roman"/>
                <w:sz w:val="18"/>
                <w:szCs w:val="18"/>
              </w:rPr>
              <w:instrText>ADDIN F1000_CSL_CITATION&lt;~#@#~&gt;[{"DOI":"10.1136/bjsports-2012-091886","First":false,"Last":false,"PMID":"23559666","abstract":"&lt;strong&gt;BACKGROUND:&lt;/strong&gt; A protective effect on injury risk in youth sports through neuromuscular warm-up training routines has consistently been demonstrated. However, there is a paucity of information regarding the quantity and quality of coach-led injury prevention programmes and its impact on the physical performance of players.&lt;br&gt;&lt;br&gt;&lt;strong&gt;OBJECTIVE:&lt;/strong&gt; The aim of this cluster-randomised controlled trial was to assess whether different delivery methods of an injury prevention programme (FIFA 11+) to coaches could improve player performance, and to examine the effect of player adherence on performance and injury risk.&lt;br&gt;&lt;br&gt;&lt;strong&gt;METHOD:&lt;/strong&gt; During the 2011 football season (May-August), coaches of 31 tiers 1-3 level teams were introduced to the 11+ through either an unsupervised website or a coach-focused workshop with and without additional on-field supervisions. Playing exposure, adherence to the 11+, and injuries were recorded for female 13-year-old to 18-year-old players. Performance testing included the Star Excursion Balance Test (SEBT), single-leg balance, triple hop and jumping-over-a-bar tests.&lt;br&gt;&lt;br&gt;&lt;strong&gt;RESULTS:&lt;/strong&gt; Complete preseason and postseason performance tests were available for 226 players (66.5%). Compared to the unsupervised group, single-leg balance (OR=2.8; 95% CI 1.1 to 4.6) and the anterior direction of the SEBT improved significantly in the onfield supervised group of players (OR=4.7; 95% CI 2.2 to 7.1), while 2-leg jumping performance decreased (OR=-5.1; 95% CI -9.9 to -0.2). However, significant improvements in 5 of 6 reach distances in the SEBT were found, favouring players who highly adhered to the 11+. Also, injury risk was lower for those players (injury rate ratio, IRR=0.28, 95% CI 0.10 to 0.79).&lt;br&gt;&lt;br&gt;&lt;strong&gt;CONCLUSIONS:&lt;/strong&gt; Different delivery methods of the FIFA 11+ to coaches influenced players' physical performance minimally. However, high player adherence to the 11+ resulted in significant improvements in functional balance and reduced injury risk.","author":[{"family":"Steffen","given":"Kathrin"},{"family":"Emery","given":"Carolyn A"},{"family":"Romiti","given":"Maria"},{"family":"Kang","given":"Jian"},{"family":"Bizzini","given":"Mario"},{"family":"Dvorak","given":"Jiri"},{"family":"Finch","given":"Caroline F"},{"family":"Meeuwisse","given":"Willem H"}],"citation-label":"6280543","container-title":"British Journal of Sports Medicine","container-title-short":"Br. J. Sports Med.","id":"6280543","invisible":false,"issue":"12","issued":{"date-parts":[["2013","8"]]},"journalAbbreviation":"Br. J. Sports Med.","page":"794-802","suppress-author":false,"title":"High adherence to a neuromuscular injury prevention programme (FIFA 11+) improves functional balance and reduces injury risk in Canadian youth female football players: a cluster randomised trial.","type":"article-journal","volume":"47"}]</w:instrText>
            </w:r>
            <w:r w:rsidRPr="000A7465">
              <w:rPr>
                <w:rFonts w:ascii="Times New Roman" w:hAnsi="Times New Roman" w:cs="Times New Roman"/>
                <w:sz w:val="18"/>
                <w:szCs w:val="18"/>
              </w:rPr>
              <w:fldChar w:fldCharType="separate"/>
            </w:r>
            <w:r w:rsidR="00502F90" w:rsidRPr="000A7465">
              <w:rPr>
                <w:rFonts w:ascii="Times New Roman" w:hAnsi="Times New Roman" w:cs="Times New Roman"/>
                <w:sz w:val="18"/>
                <w:szCs w:val="18"/>
                <w:vertAlign w:val="superscript"/>
              </w:rPr>
              <w:t>6</w:t>
            </w:r>
            <w:r w:rsidRPr="000A7465">
              <w:rPr>
                <w:rFonts w:ascii="Times New Roman" w:hAnsi="Times New Roman" w:cs="Times New Roman"/>
                <w:sz w:val="18"/>
                <w:szCs w:val="18"/>
              </w:rPr>
              <w:fldChar w:fldCharType="end"/>
            </w:r>
            <w:r w:rsidRPr="000A7465">
              <w:rPr>
                <w:rFonts w:ascii="Times New Roman" w:hAnsi="Times New Roman" w:cs="Times New Roman"/>
                <w:sz w:val="18"/>
                <w:szCs w:val="18"/>
              </w:rPr>
              <w:t xml:space="preserve"> for strengths and limitations) </w:t>
            </w:r>
          </w:p>
          <w:p w14:paraId="0C86F048" w14:textId="77777777" w:rsidR="00DE2D3C" w:rsidRPr="000A7465" w:rsidRDefault="00DE2D3C" w:rsidP="00A82EC1">
            <w:pPr>
              <w:rPr>
                <w:rFonts w:ascii="Times New Roman" w:hAnsi="Times New Roman" w:cs="Times New Roman"/>
                <w:b/>
                <w:sz w:val="18"/>
                <w:szCs w:val="18"/>
              </w:rPr>
            </w:pPr>
          </w:p>
        </w:tc>
      </w:tr>
      <w:tr w:rsidR="001B2625" w:rsidRPr="000A7465" w14:paraId="5D26571E" w14:textId="77777777" w:rsidTr="00C609F5">
        <w:trPr>
          <w:gridBefore w:val="1"/>
          <w:gridAfter w:val="1"/>
          <w:wBefore w:w="455" w:type="dxa"/>
          <w:wAfter w:w="528" w:type="dxa"/>
          <w:trHeight w:val="179"/>
        </w:trPr>
        <w:tc>
          <w:tcPr>
            <w:tcW w:w="1936" w:type="dxa"/>
          </w:tcPr>
          <w:p w14:paraId="4E58C8F9" w14:textId="77777777" w:rsidR="001B2625" w:rsidRPr="000A7465" w:rsidRDefault="001B2625" w:rsidP="000F122F">
            <w:pPr>
              <w:rPr>
                <w:rFonts w:ascii="Times New Roman" w:hAnsi="Times New Roman" w:cs="Times New Roman"/>
                <w:sz w:val="18"/>
                <w:szCs w:val="18"/>
              </w:rPr>
            </w:pPr>
            <w:r w:rsidRPr="000A7465">
              <w:rPr>
                <w:rFonts w:ascii="Times New Roman" w:hAnsi="Times New Roman" w:cs="Times New Roman"/>
                <w:b/>
                <w:sz w:val="18"/>
                <w:szCs w:val="18"/>
              </w:rPr>
              <w:t>Author/Year</w:t>
            </w:r>
            <w:r w:rsidRPr="000A7465">
              <w:rPr>
                <w:rFonts w:ascii="Times New Roman" w:hAnsi="Times New Roman" w:cs="Times New Roman"/>
                <w:sz w:val="18"/>
                <w:szCs w:val="18"/>
              </w:rPr>
              <w:t xml:space="preserve">: </w:t>
            </w:r>
            <w:proofErr w:type="spellStart"/>
            <w:r w:rsidRPr="000A7465">
              <w:rPr>
                <w:rFonts w:ascii="Times New Roman" w:hAnsi="Times New Roman" w:cs="Times New Roman"/>
                <w:sz w:val="18"/>
                <w:szCs w:val="18"/>
              </w:rPr>
              <w:t>Junge</w:t>
            </w:r>
            <w:proofErr w:type="spellEnd"/>
            <w:r w:rsidRPr="000A7465">
              <w:rPr>
                <w:rFonts w:ascii="Times New Roman" w:hAnsi="Times New Roman" w:cs="Times New Roman"/>
                <w:sz w:val="18"/>
                <w:szCs w:val="18"/>
              </w:rPr>
              <w:t xml:space="preserve"> et al 2011</w:t>
            </w:r>
            <w:r w:rsidRPr="000A7465">
              <w:rPr>
                <w:rFonts w:ascii="Times New Roman" w:hAnsi="Times New Roman" w:cs="Times New Roman"/>
                <w:sz w:val="18"/>
                <w:szCs w:val="18"/>
              </w:rPr>
              <w:fldChar w:fldCharType="begin"/>
            </w:r>
            <w:r w:rsidRPr="000A7465">
              <w:rPr>
                <w:rFonts w:ascii="Times New Roman" w:hAnsi="Times New Roman" w:cs="Times New Roman"/>
                <w:sz w:val="18"/>
                <w:szCs w:val="18"/>
              </w:rPr>
              <w:instrText>ADDIN F1000_CSL_CITATION&lt;~#@#~&gt;[{"DOI":"10.1177/0363546510377424","First":false,"Last":false,"PMID":"20956263","abstract":"&lt;strong&gt;BACKGROUND:&lt;/strong&gt; In Switzerland, the national accident insurance company registered a total of 42 262 soccer injuries, resulting in costs of approximately 145 million Swiss francs (~US$130 million) in 2003. Research on injury prevention has shown that exercise-based programs can reduce the incidence of soccer injuries.&lt;br&gt;&lt;br&gt;&lt;strong&gt;PURPOSE:&lt;/strong&gt; This study was conducted to assess the implementation and effects of a countrywide campaign to reduce the incidence of soccer injuries in Swiss amateur players.&lt;br&gt;&lt;br&gt;&lt;strong&gt;STUDY DESIGN:&lt;/strong&gt; Cohort study; Level of evidence, 3.&lt;br&gt;&lt;br&gt;&lt;strong&gt;METHODS:&lt;/strong&gt; All coaches of the Schweizerischer Fussballverband (SFV) received information material and were instructed to implement the injury prevention program \"The 11\" in their training of amateur players. After the instruction, the coaches were asked to rate the quality and the feasibility of \"The 11.\" Before the start of the intervention and 4 years later, a representative sample of about 1000 Swiss soccer coaches were interviewed about the frequency and characteristics of injuries in their teams. Teams that did or did not practice \"The 11\" were compared with respect to the incidence of soccer injuries.&lt;br&gt;&lt;br&gt;&lt;strong&gt;RESULTS:&lt;/strong&gt; A total of 5549 coaches for amateur players were instructed to perform \"The 11\" in the training with their teams. The ratings of the teaching session and the prevention program were overall very positive. In 2008, 80% of all SFV coaches knew the prevention campaign \"The 11\" and 57% performed the program or most parts of it. Teams performing \"The 11\" had an 11.5% lower incidence of match injuries and a 25.3% lower incidence of training injuries than other teams; noncontact injuries in particular were prevented by the program.&lt;br&gt;&lt;br&gt;&lt;strong&gt;CONCLUSION:&lt;/strong&gt; \"The 11\" was successfully implemented in a countrywide campaign and proved effective in reducing soccer injuries in amateur players. An effect of the prevention program was also observed in the population-based insurance data and health-care costs.","author":[{"family":"Junge","given":"Astrid"},{"family":"Lamprecht","given":"Markus"},{"family":"Stamm","given":"Hanspeter"},{"family":"Hasler","given":"Hansruedi"},{"family":"Bizzini","given":"Mario"},{"family":"Tschopp","given":"Markus"},{"family":"Reuter","given":"Harald"},{"family":"Wyss","given":"Heinz"},{"family":"Chilvers","given":"Chris"},{"family":"Dvorak","given":"Jiri"}],"citation-label":"6349893","container-title":"The American Journal of Sports Medicine","container-title-short":"Am. J. Sports Med.","id":"6349893","invisible":false,"issue":"1","issued":{"date-parts":[["2011","1"]]},"journalAbbreviation":"Am. J. Sports Med.","page":"57-63","suppress-author":false,"title":"Countrywide campaign to prevent soccer injuries in Swiss amateur players.","type":"article-journal","volume":"39"}]</w:instrText>
            </w:r>
            <w:r w:rsidRPr="000A7465">
              <w:rPr>
                <w:rFonts w:ascii="Times New Roman" w:hAnsi="Times New Roman" w:cs="Times New Roman"/>
                <w:sz w:val="18"/>
                <w:szCs w:val="18"/>
              </w:rPr>
              <w:fldChar w:fldCharType="separate"/>
            </w:r>
            <w:r w:rsidRPr="000A7465">
              <w:rPr>
                <w:rFonts w:ascii="Times New Roman" w:hAnsi="Times New Roman" w:cs="Times New Roman"/>
                <w:noProof/>
                <w:sz w:val="18"/>
                <w:szCs w:val="18"/>
                <w:vertAlign w:val="superscript"/>
              </w:rPr>
              <w:t>12</w:t>
            </w:r>
            <w:r w:rsidRPr="000A7465">
              <w:rPr>
                <w:rFonts w:ascii="Times New Roman" w:hAnsi="Times New Roman" w:cs="Times New Roman"/>
                <w:sz w:val="18"/>
                <w:szCs w:val="18"/>
              </w:rPr>
              <w:fldChar w:fldCharType="end"/>
            </w:r>
          </w:p>
          <w:p w14:paraId="3F22D957" w14:textId="77777777" w:rsidR="001B2625" w:rsidRPr="000A7465" w:rsidRDefault="001B2625" w:rsidP="000F122F">
            <w:pPr>
              <w:rPr>
                <w:rFonts w:ascii="Times New Roman" w:hAnsi="Times New Roman" w:cs="Times New Roman"/>
                <w:sz w:val="18"/>
                <w:szCs w:val="18"/>
              </w:rPr>
            </w:pPr>
          </w:p>
          <w:p w14:paraId="36F8B320" w14:textId="77777777" w:rsidR="001B2625" w:rsidRPr="000A7465" w:rsidRDefault="001B2625" w:rsidP="000F122F">
            <w:pPr>
              <w:rPr>
                <w:rFonts w:ascii="Times New Roman" w:hAnsi="Times New Roman" w:cs="Times New Roman"/>
                <w:sz w:val="18"/>
                <w:szCs w:val="18"/>
              </w:rPr>
            </w:pPr>
            <w:r w:rsidRPr="000A7465">
              <w:rPr>
                <w:rFonts w:ascii="Times New Roman" w:hAnsi="Times New Roman" w:cs="Times New Roman"/>
                <w:b/>
                <w:sz w:val="18"/>
                <w:szCs w:val="18"/>
              </w:rPr>
              <w:t>Study Design</w:t>
            </w:r>
            <w:r w:rsidRPr="000A7465">
              <w:rPr>
                <w:rFonts w:ascii="Times New Roman" w:hAnsi="Times New Roman" w:cs="Times New Roman"/>
                <w:sz w:val="18"/>
                <w:szCs w:val="18"/>
              </w:rPr>
              <w:t xml:space="preserve">: cohort study </w:t>
            </w:r>
          </w:p>
          <w:p w14:paraId="7DFCA844" w14:textId="77777777" w:rsidR="001B2625" w:rsidRPr="000A7465" w:rsidRDefault="001B2625" w:rsidP="000F122F">
            <w:pPr>
              <w:rPr>
                <w:rFonts w:ascii="Times New Roman" w:hAnsi="Times New Roman" w:cs="Times New Roman"/>
                <w:sz w:val="18"/>
                <w:szCs w:val="18"/>
              </w:rPr>
            </w:pPr>
          </w:p>
          <w:p w14:paraId="60D02A25" w14:textId="77777777" w:rsidR="001B2625" w:rsidRPr="000A7465" w:rsidRDefault="001B2625" w:rsidP="000F122F">
            <w:pPr>
              <w:rPr>
                <w:rFonts w:ascii="Times New Roman" w:hAnsi="Times New Roman" w:cs="Times New Roman"/>
                <w:sz w:val="18"/>
                <w:szCs w:val="18"/>
              </w:rPr>
            </w:pPr>
            <w:r w:rsidRPr="000A7465">
              <w:rPr>
                <w:rFonts w:ascii="Times New Roman" w:hAnsi="Times New Roman" w:cs="Times New Roman"/>
                <w:b/>
                <w:sz w:val="18"/>
                <w:szCs w:val="18"/>
              </w:rPr>
              <w:t>Level of evidence</w:t>
            </w:r>
            <w:r w:rsidRPr="000A7465">
              <w:rPr>
                <w:rFonts w:ascii="Times New Roman" w:hAnsi="Times New Roman" w:cs="Times New Roman"/>
                <w:sz w:val="18"/>
                <w:szCs w:val="18"/>
              </w:rPr>
              <w:t>: 3</w:t>
            </w:r>
          </w:p>
          <w:p w14:paraId="2CEDA795" w14:textId="77777777" w:rsidR="001B2625" w:rsidRPr="000A7465" w:rsidRDefault="001B2625" w:rsidP="000F122F">
            <w:pPr>
              <w:rPr>
                <w:rFonts w:ascii="Times New Roman" w:hAnsi="Times New Roman" w:cs="Times New Roman"/>
                <w:sz w:val="18"/>
                <w:szCs w:val="18"/>
              </w:rPr>
            </w:pPr>
          </w:p>
          <w:p w14:paraId="25005B35" w14:textId="3442C650" w:rsidR="001B2625" w:rsidRPr="000A7465" w:rsidRDefault="001B2625" w:rsidP="000F122F">
            <w:pPr>
              <w:rPr>
                <w:rFonts w:ascii="Times New Roman" w:hAnsi="Times New Roman" w:cs="Times New Roman"/>
                <w:b/>
                <w:sz w:val="18"/>
                <w:szCs w:val="18"/>
              </w:rPr>
            </w:pPr>
            <w:r w:rsidRPr="000A7465">
              <w:rPr>
                <w:rFonts w:ascii="Times New Roman" w:hAnsi="Times New Roman" w:cs="Times New Roman"/>
                <w:b/>
                <w:sz w:val="18"/>
                <w:szCs w:val="18"/>
              </w:rPr>
              <w:t>Aim</w:t>
            </w:r>
            <w:r w:rsidRPr="000A7465">
              <w:rPr>
                <w:rFonts w:ascii="Times New Roman" w:hAnsi="Times New Roman" w:cs="Times New Roman"/>
                <w:sz w:val="18"/>
                <w:szCs w:val="18"/>
              </w:rPr>
              <w:t>: determine the implementation and its impact of a national campaign to promote the adaptation of IPPs in Swiss amateur soccer players</w:t>
            </w:r>
          </w:p>
        </w:tc>
        <w:tc>
          <w:tcPr>
            <w:tcW w:w="4380" w:type="dxa"/>
          </w:tcPr>
          <w:p w14:paraId="00BEB3F9" w14:textId="77777777" w:rsidR="001B2625" w:rsidRPr="000A7465" w:rsidRDefault="001B2625" w:rsidP="000F122F">
            <w:pPr>
              <w:rPr>
                <w:rFonts w:ascii="Times New Roman" w:hAnsi="Times New Roman" w:cs="Times New Roman"/>
                <w:b/>
                <w:sz w:val="18"/>
                <w:szCs w:val="18"/>
              </w:rPr>
            </w:pPr>
            <w:r w:rsidRPr="000A7465">
              <w:rPr>
                <w:rFonts w:ascii="Times New Roman" w:hAnsi="Times New Roman" w:cs="Times New Roman"/>
                <w:b/>
                <w:sz w:val="18"/>
                <w:szCs w:val="18"/>
              </w:rPr>
              <w:t>Dissemination methods</w:t>
            </w:r>
            <w:r w:rsidRPr="000A7465">
              <w:rPr>
                <w:rFonts w:ascii="Times New Roman" w:hAnsi="Times New Roman" w:cs="Times New Roman"/>
                <w:sz w:val="18"/>
                <w:szCs w:val="18"/>
              </w:rPr>
              <w:t>/</w:t>
            </w:r>
            <w:r w:rsidRPr="000A7465">
              <w:rPr>
                <w:rFonts w:ascii="Times New Roman" w:hAnsi="Times New Roman" w:cs="Times New Roman"/>
                <w:b/>
                <w:sz w:val="18"/>
                <w:szCs w:val="18"/>
              </w:rPr>
              <w:t>Intervention</w:t>
            </w:r>
          </w:p>
          <w:p w14:paraId="2F0B00D2" w14:textId="5EC7079C" w:rsidR="001B2625" w:rsidRPr="000A7465" w:rsidRDefault="001B2625" w:rsidP="000F122F">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rPr>
              <w:t>All licensed coaches in Switzerland were</w:t>
            </w:r>
            <w:r w:rsidR="00E15362" w:rsidRPr="000A7465">
              <w:rPr>
                <w:rFonts w:ascii="Times New Roman" w:hAnsi="Times New Roman" w:cs="Times New Roman"/>
                <w:sz w:val="18"/>
                <w:szCs w:val="18"/>
              </w:rPr>
              <w:t xml:space="preserve"> instructed on the “</w:t>
            </w:r>
            <w:r w:rsidRPr="000A7465">
              <w:rPr>
                <w:rFonts w:ascii="Times New Roman" w:hAnsi="Times New Roman" w:cs="Times New Roman"/>
                <w:sz w:val="18"/>
                <w:szCs w:val="18"/>
              </w:rPr>
              <w:t xml:space="preserve">11” IPP during their </w:t>
            </w:r>
            <w:r w:rsidR="00E15362" w:rsidRPr="000A7465">
              <w:rPr>
                <w:rFonts w:ascii="Times New Roman" w:hAnsi="Times New Roman" w:cs="Times New Roman"/>
                <w:sz w:val="18"/>
                <w:szCs w:val="18"/>
              </w:rPr>
              <w:t xml:space="preserve">coaching </w:t>
            </w:r>
            <w:r w:rsidRPr="000A7465">
              <w:rPr>
                <w:rFonts w:ascii="Times New Roman" w:hAnsi="Times New Roman" w:cs="Times New Roman"/>
                <w:sz w:val="18"/>
                <w:szCs w:val="18"/>
              </w:rPr>
              <w:t xml:space="preserve">refresher course which occurs every other year </w:t>
            </w:r>
          </w:p>
          <w:p w14:paraId="542B35F5" w14:textId="0D614260" w:rsidR="001B2625" w:rsidRPr="000A7465" w:rsidRDefault="001B2625" w:rsidP="00E15362">
            <w:pPr>
              <w:pStyle w:val="ListParagraph"/>
              <w:numPr>
                <w:ilvl w:val="1"/>
                <w:numId w:val="6"/>
              </w:numPr>
              <w:rPr>
                <w:rFonts w:ascii="Times New Roman" w:hAnsi="Times New Roman" w:cs="Times New Roman"/>
                <w:sz w:val="18"/>
                <w:szCs w:val="18"/>
              </w:rPr>
            </w:pPr>
            <w:r w:rsidRPr="000A7465">
              <w:rPr>
                <w:rFonts w:ascii="Times New Roman" w:hAnsi="Times New Roman" w:cs="Times New Roman"/>
                <w:sz w:val="18"/>
                <w:szCs w:val="18"/>
              </w:rPr>
              <w:t>Coaches received a DVD, poster and b</w:t>
            </w:r>
            <w:r w:rsidR="00E15362" w:rsidRPr="000A7465">
              <w:rPr>
                <w:rFonts w:ascii="Times New Roman" w:hAnsi="Times New Roman" w:cs="Times New Roman"/>
                <w:sz w:val="18"/>
                <w:szCs w:val="18"/>
              </w:rPr>
              <w:t>ooklet with information about the “</w:t>
            </w:r>
            <w:r w:rsidRPr="000A7465">
              <w:rPr>
                <w:rFonts w:ascii="Times New Roman" w:hAnsi="Times New Roman" w:cs="Times New Roman"/>
                <w:sz w:val="18"/>
                <w:szCs w:val="18"/>
              </w:rPr>
              <w:t>11” and were instructed on correct performance of the protocol</w:t>
            </w:r>
          </w:p>
          <w:p w14:paraId="18C1C9CA" w14:textId="77777777" w:rsidR="001B2625" w:rsidRPr="000A7465" w:rsidRDefault="001B2625" w:rsidP="000F122F">
            <w:pPr>
              <w:rPr>
                <w:rFonts w:ascii="Times New Roman" w:hAnsi="Times New Roman" w:cs="Times New Roman"/>
                <w:b/>
                <w:sz w:val="18"/>
                <w:szCs w:val="18"/>
              </w:rPr>
            </w:pPr>
          </w:p>
          <w:p w14:paraId="5D671B01" w14:textId="77777777" w:rsidR="001B2625" w:rsidRPr="000A7465" w:rsidRDefault="001B2625" w:rsidP="000F122F">
            <w:pPr>
              <w:rPr>
                <w:rFonts w:ascii="Times New Roman" w:hAnsi="Times New Roman" w:cs="Times New Roman"/>
                <w:sz w:val="18"/>
                <w:szCs w:val="18"/>
              </w:rPr>
            </w:pPr>
            <w:r w:rsidRPr="000A7465">
              <w:rPr>
                <w:rFonts w:ascii="Times New Roman" w:hAnsi="Times New Roman" w:cs="Times New Roman"/>
                <w:b/>
                <w:sz w:val="18"/>
                <w:szCs w:val="18"/>
              </w:rPr>
              <w:t>Survey</w:t>
            </w:r>
            <w:r w:rsidRPr="000A7465">
              <w:rPr>
                <w:rFonts w:ascii="Times New Roman" w:hAnsi="Times New Roman" w:cs="Times New Roman"/>
                <w:sz w:val="18"/>
                <w:szCs w:val="18"/>
              </w:rPr>
              <w:t>: a representative sample of coaches were selected for in-depth standardized interview before the intervention (2004) and 4 years after (2008)</w:t>
            </w:r>
          </w:p>
          <w:p w14:paraId="147BCF8E" w14:textId="77777777" w:rsidR="00E15362" w:rsidRPr="000A7465" w:rsidRDefault="00E15362" w:rsidP="000F122F">
            <w:pPr>
              <w:rPr>
                <w:rFonts w:ascii="Times New Roman" w:hAnsi="Times New Roman" w:cs="Times New Roman"/>
                <w:sz w:val="18"/>
                <w:szCs w:val="18"/>
              </w:rPr>
            </w:pPr>
          </w:p>
          <w:p w14:paraId="5783E049" w14:textId="77777777" w:rsidR="001B2625" w:rsidRPr="000A7465" w:rsidRDefault="001B2625" w:rsidP="000F122F">
            <w:pPr>
              <w:rPr>
                <w:rFonts w:ascii="Times New Roman" w:hAnsi="Times New Roman" w:cs="Times New Roman"/>
                <w:sz w:val="18"/>
                <w:szCs w:val="18"/>
              </w:rPr>
            </w:pPr>
            <w:r w:rsidRPr="000A7465">
              <w:rPr>
                <w:rFonts w:ascii="Times New Roman" w:hAnsi="Times New Roman" w:cs="Times New Roman"/>
                <w:b/>
                <w:sz w:val="18"/>
                <w:szCs w:val="18"/>
              </w:rPr>
              <w:t>Selection of Sample</w:t>
            </w:r>
            <w:r w:rsidRPr="000A7465">
              <w:rPr>
                <w:rFonts w:ascii="Times New Roman" w:hAnsi="Times New Roman" w:cs="Times New Roman"/>
                <w:sz w:val="18"/>
                <w:szCs w:val="18"/>
              </w:rPr>
              <w:t xml:space="preserve">: random selection of 1,574 coaches of the total 5384 coaches. Of these 545 were not included because they could not be contacted, they were no longer coaching, or they refused. </w:t>
            </w:r>
          </w:p>
          <w:p w14:paraId="74972380" w14:textId="77777777" w:rsidR="00E15362" w:rsidRPr="000A7465" w:rsidRDefault="001B2625" w:rsidP="000F122F">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rPr>
              <w:t xml:space="preserve">Of the 1027 coaches who completed the initial interview, 310 (30.1%) completed the post-intervention interview, </w:t>
            </w:r>
            <w:r w:rsidR="00E15362" w:rsidRPr="000A7465">
              <w:rPr>
                <w:rFonts w:ascii="Times New Roman" w:hAnsi="Times New Roman" w:cs="Times New Roman"/>
                <w:sz w:val="18"/>
                <w:szCs w:val="18"/>
              </w:rPr>
              <w:t>37 %</w:t>
            </w:r>
            <w:r w:rsidRPr="000A7465">
              <w:rPr>
                <w:rFonts w:ascii="Times New Roman" w:hAnsi="Times New Roman" w:cs="Times New Roman"/>
                <w:sz w:val="18"/>
                <w:szCs w:val="18"/>
              </w:rPr>
              <w:t xml:space="preserve"> were no longer coaching and 32.8% were not interviewed for various other reasons</w:t>
            </w:r>
          </w:p>
          <w:p w14:paraId="19B7C5CA" w14:textId="548946FB" w:rsidR="001B2625" w:rsidRPr="000A7465" w:rsidRDefault="001B2625" w:rsidP="000F122F">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rPr>
              <w:t>A second random sample was drawn in 2008 – 69.3% of coaches were interviewed (705 total)</w:t>
            </w:r>
            <w:r w:rsidR="00E15362" w:rsidRPr="000A7465">
              <w:rPr>
                <w:rFonts w:ascii="Times New Roman" w:hAnsi="Times New Roman" w:cs="Times New Roman"/>
                <w:sz w:val="18"/>
                <w:szCs w:val="18"/>
              </w:rPr>
              <w:t xml:space="preserve"> </w:t>
            </w:r>
          </w:p>
        </w:tc>
        <w:tc>
          <w:tcPr>
            <w:tcW w:w="4584" w:type="dxa"/>
          </w:tcPr>
          <w:p w14:paraId="2D7455EC" w14:textId="00653389" w:rsidR="001B2625" w:rsidRPr="000A7465" w:rsidRDefault="001B2625" w:rsidP="000F122F">
            <w:pPr>
              <w:rPr>
                <w:rFonts w:ascii="Times New Roman" w:hAnsi="Times New Roman" w:cs="Times New Roman"/>
                <w:sz w:val="18"/>
                <w:szCs w:val="18"/>
              </w:rPr>
            </w:pPr>
            <w:r w:rsidRPr="000A7465">
              <w:rPr>
                <w:rFonts w:ascii="Times New Roman" w:hAnsi="Times New Roman" w:cs="Times New Roman"/>
                <w:sz w:val="18"/>
                <w:szCs w:val="18"/>
              </w:rPr>
              <w:t>In 2 years, 5,5</w:t>
            </w:r>
            <w:r w:rsidR="00CC7099" w:rsidRPr="000A7465">
              <w:rPr>
                <w:rFonts w:ascii="Times New Roman" w:hAnsi="Times New Roman" w:cs="Times New Roman"/>
                <w:sz w:val="18"/>
                <w:szCs w:val="18"/>
              </w:rPr>
              <w:t>49 coaches were instructed in the “</w:t>
            </w:r>
            <w:r w:rsidRPr="000A7465">
              <w:rPr>
                <w:rFonts w:ascii="Times New Roman" w:hAnsi="Times New Roman" w:cs="Times New Roman"/>
                <w:sz w:val="18"/>
                <w:szCs w:val="18"/>
              </w:rPr>
              <w:t xml:space="preserve">11” program </w:t>
            </w:r>
          </w:p>
          <w:p w14:paraId="63111427" w14:textId="77777777" w:rsidR="001B2625" w:rsidRPr="000A7465" w:rsidRDefault="001B2625" w:rsidP="000F122F">
            <w:pPr>
              <w:rPr>
                <w:rFonts w:ascii="Times New Roman" w:hAnsi="Times New Roman" w:cs="Times New Roman"/>
                <w:sz w:val="18"/>
                <w:szCs w:val="18"/>
              </w:rPr>
            </w:pPr>
          </w:p>
          <w:p w14:paraId="213EF8B5" w14:textId="4576CF6F" w:rsidR="001B2625" w:rsidRPr="000A7465" w:rsidRDefault="00CC7099" w:rsidP="000F122F">
            <w:pPr>
              <w:rPr>
                <w:rFonts w:ascii="Times New Roman" w:hAnsi="Times New Roman" w:cs="Times New Roman"/>
                <w:sz w:val="18"/>
                <w:szCs w:val="18"/>
              </w:rPr>
            </w:pPr>
            <w:r w:rsidRPr="000A7465">
              <w:rPr>
                <w:rFonts w:ascii="Times New Roman" w:hAnsi="Times New Roman" w:cs="Times New Roman"/>
                <w:b/>
                <w:sz w:val="18"/>
                <w:szCs w:val="18"/>
              </w:rPr>
              <w:t>The</w:t>
            </w:r>
            <w:r w:rsidR="001B2625" w:rsidRPr="000A7465">
              <w:rPr>
                <w:rFonts w:ascii="Times New Roman" w:hAnsi="Times New Roman" w:cs="Times New Roman"/>
                <w:b/>
                <w:sz w:val="18"/>
                <w:szCs w:val="18"/>
              </w:rPr>
              <w:t xml:space="preserve"> “11” after 4 years (2008)</w:t>
            </w:r>
            <w:r w:rsidR="001B2625" w:rsidRPr="000A7465">
              <w:rPr>
                <w:rFonts w:ascii="Times New Roman" w:hAnsi="Times New Roman" w:cs="Times New Roman"/>
                <w:sz w:val="18"/>
                <w:szCs w:val="18"/>
              </w:rPr>
              <w:t xml:space="preserve">: </w:t>
            </w:r>
          </w:p>
          <w:p w14:paraId="07D7F7BF" w14:textId="4648A3B9" w:rsidR="001B2625" w:rsidRPr="000A7465" w:rsidRDefault="001B2625" w:rsidP="000F122F">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rPr>
              <w:t>79.8</w:t>
            </w:r>
            <w:r w:rsidR="00E42956">
              <w:rPr>
                <w:rFonts w:ascii="Times New Roman" w:hAnsi="Times New Roman" w:cs="Times New Roman"/>
                <w:sz w:val="18"/>
                <w:szCs w:val="18"/>
              </w:rPr>
              <w:t>% of coaches were aware of the “</w:t>
            </w:r>
            <w:r w:rsidRPr="000A7465">
              <w:rPr>
                <w:rFonts w:ascii="Times New Roman" w:hAnsi="Times New Roman" w:cs="Times New Roman"/>
                <w:sz w:val="18"/>
                <w:szCs w:val="18"/>
              </w:rPr>
              <w:t>11”</w:t>
            </w:r>
          </w:p>
          <w:p w14:paraId="03481283" w14:textId="77777777" w:rsidR="001B2625" w:rsidRPr="000A7465" w:rsidRDefault="001B2625" w:rsidP="000F122F">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rPr>
              <w:t>57% of coaches utilized the IPP or components of the program</w:t>
            </w:r>
          </w:p>
          <w:p w14:paraId="7EFAE0EF" w14:textId="77777777" w:rsidR="001B2625" w:rsidRPr="000A7465" w:rsidRDefault="001B2625" w:rsidP="000F122F">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rPr>
              <w:t>Main barriers to adherence were “not having enough time or other priorities”</w:t>
            </w:r>
          </w:p>
          <w:p w14:paraId="79943D9D" w14:textId="772BFADC" w:rsidR="001B2625" w:rsidRPr="000A7465" w:rsidRDefault="00CC7099" w:rsidP="000F122F">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rPr>
              <w:t>The “</w:t>
            </w:r>
            <w:r w:rsidR="001B2625" w:rsidRPr="000A7465">
              <w:rPr>
                <w:rFonts w:ascii="Times New Roman" w:hAnsi="Times New Roman" w:cs="Times New Roman"/>
                <w:sz w:val="18"/>
                <w:szCs w:val="18"/>
              </w:rPr>
              <w:t xml:space="preserve">11” was performed less by male adult teams (20.4%) </w:t>
            </w:r>
          </w:p>
          <w:p w14:paraId="470CAC7E" w14:textId="5CE6A8B6" w:rsidR="001B2625" w:rsidRPr="000A7465" w:rsidRDefault="00C02AF4" w:rsidP="000F122F">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rPr>
              <w:t>Of those who utilized the “</w:t>
            </w:r>
            <w:r w:rsidR="001B2625" w:rsidRPr="000A7465">
              <w:rPr>
                <w:rFonts w:ascii="Times New Roman" w:hAnsi="Times New Roman" w:cs="Times New Roman"/>
                <w:sz w:val="18"/>
                <w:szCs w:val="18"/>
              </w:rPr>
              <w:t>11” IPP…</w:t>
            </w:r>
          </w:p>
          <w:p w14:paraId="4C422C5F" w14:textId="77777777" w:rsidR="001B2625" w:rsidRPr="000A7465" w:rsidRDefault="001B2625" w:rsidP="000F122F">
            <w:pPr>
              <w:pStyle w:val="ListParagraph"/>
              <w:numPr>
                <w:ilvl w:val="1"/>
                <w:numId w:val="6"/>
              </w:numPr>
              <w:rPr>
                <w:rFonts w:ascii="Times New Roman" w:hAnsi="Times New Roman" w:cs="Times New Roman"/>
                <w:sz w:val="18"/>
                <w:szCs w:val="18"/>
              </w:rPr>
            </w:pPr>
            <w:r w:rsidRPr="000A7465">
              <w:rPr>
                <w:rFonts w:ascii="Times New Roman" w:hAnsi="Times New Roman" w:cs="Times New Roman"/>
                <w:sz w:val="18"/>
                <w:szCs w:val="18"/>
              </w:rPr>
              <w:t>57.4% performed exercises for &gt; 6 months</w:t>
            </w:r>
          </w:p>
          <w:p w14:paraId="21AD271C" w14:textId="77777777" w:rsidR="001B2625" w:rsidRPr="000A7465" w:rsidRDefault="001B2625" w:rsidP="000F122F">
            <w:pPr>
              <w:pStyle w:val="ListParagraph"/>
              <w:numPr>
                <w:ilvl w:val="1"/>
                <w:numId w:val="6"/>
              </w:numPr>
              <w:rPr>
                <w:rFonts w:ascii="Times New Roman" w:hAnsi="Times New Roman" w:cs="Times New Roman"/>
                <w:sz w:val="18"/>
                <w:szCs w:val="18"/>
              </w:rPr>
            </w:pPr>
            <w:r w:rsidRPr="000A7465">
              <w:rPr>
                <w:rFonts w:ascii="Times New Roman" w:hAnsi="Times New Roman" w:cs="Times New Roman"/>
                <w:sz w:val="18"/>
                <w:szCs w:val="18"/>
              </w:rPr>
              <w:t>98% of coaches focused on the correct performance of exercises</w:t>
            </w:r>
          </w:p>
          <w:p w14:paraId="0AC2148C" w14:textId="77777777" w:rsidR="001B2625" w:rsidRPr="000A7465" w:rsidRDefault="001B2625" w:rsidP="000F122F">
            <w:pPr>
              <w:pStyle w:val="ListParagraph"/>
              <w:numPr>
                <w:ilvl w:val="1"/>
                <w:numId w:val="6"/>
              </w:numPr>
              <w:rPr>
                <w:rFonts w:ascii="Times New Roman" w:hAnsi="Times New Roman" w:cs="Times New Roman"/>
                <w:sz w:val="18"/>
                <w:szCs w:val="18"/>
              </w:rPr>
            </w:pPr>
            <w:r w:rsidRPr="000A7465">
              <w:rPr>
                <w:rFonts w:ascii="Times New Roman" w:hAnsi="Times New Roman" w:cs="Times New Roman"/>
                <w:sz w:val="18"/>
                <w:szCs w:val="18"/>
              </w:rPr>
              <w:t>Less than half of teams performed the IPP twice per week (or more) and only 40% of coaches instructed with only the original exercises</w:t>
            </w:r>
          </w:p>
          <w:p w14:paraId="529AFB40" w14:textId="77777777" w:rsidR="001B2625" w:rsidRPr="000A7465" w:rsidRDefault="001B2625" w:rsidP="000F122F">
            <w:pPr>
              <w:rPr>
                <w:rFonts w:ascii="Times New Roman" w:hAnsi="Times New Roman" w:cs="Times New Roman"/>
                <w:sz w:val="18"/>
                <w:szCs w:val="18"/>
              </w:rPr>
            </w:pPr>
          </w:p>
          <w:p w14:paraId="3A2B9F70" w14:textId="77777777" w:rsidR="001B2625" w:rsidRPr="000A7465" w:rsidRDefault="001B2625" w:rsidP="000F122F">
            <w:pPr>
              <w:rPr>
                <w:rFonts w:ascii="Times New Roman" w:hAnsi="Times New Roman" w:cs="Times New Roman"/>
                <w:b/>
                <w:sz w:val="18"/>
                <w:szCs w:val="18"/>
              </w:rPr>
            </w:pPr>
          </w:p>
        </w:tc>
        <w:tc>
          <w:tcPr>
            <w:tcW w:w="3495" w:type="dxa"/>
          </w:tcPr>
          <w:p w14:paraId="1EA5AF87" w14:textId="00A65AAB" w:rsidR="001B2625" w:rsidRPr="000A7465" w:rsidRDefault="001B2625" w:rsidP="000F122F">
            <w:pPr>
              <w:rPr>
                <w:rFonts w:ascii="Times New Roman" w:hAnsi="Times New Roman" w:cs="Times New Roman"/>
                <w:sz w:val="18"/>
                <w:szCs w:val="18"/>
              </w:rPr>
            </w:pPr>
            <w:r w:rsidRPr="000A7465">
              <w:rPr>
                <w:rFonts w:ascii="Times New Roman" w:hAnsi="Times New Roman" w:cs="Times New Roman"/>
                <w:b/>
                <w:sz w:val="18"/>
                <w:szCs w:val="18"/>
              </w:rPr>
              <w:t>Conclusion</w:t>
            </w:r>
            <w:r w:rsidR="00C02AF4" w:rsidRPr="000A7465">
              <w:rPr>
                <w:rFonts w:ascii="Times New Roman" w:hAnsi="Times New Roman" w:cs="Times New Roman"/>
                <w:sz w:val="18"/>
                <w:szCs w:val="18"/>
              </w:rPr>
              <w:t>: The implementation of the</w:t>
            </w:r>
            <w:r w:rsidRPr="000A7465">
              <w:rPr>
                <w:rFonts w:ascii="Times New Roman" w:hAnsi="Times New Roman" w:cs="Times New Roman"/>
                <w:sz w:val="18"/>
                <w:szCs w:val="18"/>
              </w:rPr>
              <w:t xml:space="preserve"> </w:t>
            </w:r>
            <w:r w:rsidR="00C02AF4" w:rsidRPr="000A7465">
              <w:rPr>
                <w:rFonts w:ascii="Times New Roman" w:hAnsi="Times New Roman" w:cs="Times New Roman"/>
                <w:sz w:val="18"/>
                <w:szCs w:val="18"/>
              </w:rPr>
              <w:t>“</w:t>
            </w:r>
            <w:r w:rsidRPr="000A7465">
              <w:rPr>
                <w:rFonts w:ascii="Times New Roman" w:hAnsi="Times New Roman" w:cs="Times New Roman"/>
                <w:sz w:val="18"/>
                <w:szCs w:val="18"/>
              </w:rPr>
              <w:t xml:space="preserve">11” across Switzerland was successful. It was adapted by over 57% of coaches, but rarely performed </w:t>
            </w:r>
            <w:r w:rsidR="00C02AF4" w:rsidRPr="000A7465">
              <w:rPr>
                <w:rFonts w:ascii="Times New Roman" w:hAnsi="Times New Roman" w:cs="Times New Roman"/>
                <w:sz w:val="18"/>
                <w:szCs w:val="18"/>
              </w:rPr>
              <w:t>to</w:t>
            </w:r>
            <w:r w:rsidRPr="000A7465">
              <w:rPr>
                <w:rFonts w:ascii="Times New Roman" w:hAnsi="Times New Roman" w:cs="Times New Roman"/>
                <w:sz w:val="18"/>
                <w:szCs w:val="18"/>
              </w:rPr>
              <w:t xml:space="preserve"> protocol standards. </w:t>
            </w:r>
          </w:p>
          <w:p w14:paraId="554B8963" w14:textId="77777777" w:rsidR="001B2625" w:rsidRPr="000A7465" w:rsidRDefault="001B2625" w:rsidP="000F122F">
            <w:pPr>
              <w:rPr>
                <w:rFonts w:ascii="Times New Roman" w:hAnsi="Times New Roman" w:cs="Times New Roman"/>
                <w:sz w:val="18"/>
                <w:szCs w:val="18"/>
              </w:rPr>
            </w:pPr>
          </w:p>
          <w:p w14:paraId="4DE26F69" w14:textId="77777777" w:rsidR="001B2625" w:rsidRPr="000A7465" w:rsidRDefault="001B2625" w:rsidP="000F122F">
            <w:pPr>
              <w:rPr>
                <w:rFonts w:ascii="Times New Roman" w:hAnsi="Times New Roman" w:cs="Times New Roman"/>
                <w:sz w:val="18"/>
                <w:szCs w:val="18"/>
              </w:rPr>
            </w:pPr>
            <w:r w:rsidRPr="000A7465">
              <w:rPr>
                <w:rFonts w:ascii="Times New Roman" w:hAnsi="Times New Roman" w:cs="Times New Roman"/>
                <w:b/>
                <w:sz w:val="18"/>
                <w:szCs w:val="18"/>
              </w:rPr>
              <w:t>Limitations</w:t>
            </w:r>
            <w:r w:rsidRPr="000A7465">
              <w:rPr>
                <w:rFonts w:ascii="Times New Roman" w:hAnsi="Times New Roman" w:cs="Times New Roman"/>
                <w:sz w:val="18"/>
                <w:szCs w:val="18"/>
              </w:rPr>
              <w:t>:</w:t>
            </w:r>
          </w:p>
          <w:p w14:paraId="02D8DDD3" w14:textId="77777777" w:rsidR="001B2625" w:rsidRPr="000A7465" w:rsidRDefault="001B2625" w:rsidP="000F122F">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rPr>
              <w:t xml:space="preserve">Selection and reporting bias </w:t>
            </w:r>
          </w:p>
          <w:p w14:paraId="54C2907D" w14:textId="77777777" w:rsidR="001B2625" w:rsidRPr="000A7465" w:rsidRDefault="001B2625" w:rsidP="000F122F">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rPr>
              <w:t>High attrition rates</w:t>
            </w:r>
          </w:p>
          <w:p w14:paraId="472DE507" w14:textId="77777777" w:rsidR="001B2625" w:rsidRPr="000A7465" w:rsidRDefault="001B2625" w:rsidP="000F122F">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rPr>
              <w:t>Self-report of principle outcomes</w:t>
            </w:r>
          </w:p>
          <w:p w14:paraId="46B81150" w14:textId="77777777" w:rsidR="001B2625" w:rsidRPr="000A7465" w:rsidRDefault="001B2625" w:rsidP="000F122F">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rPr>
              <w:t>No control</w:t>
            </w:r>
          </w:p>
          <w:p w14:paraId="3D78C1AD" w14:textId="77777777" w:rsidR="001B2625" w:rsidRPr="000A7465" w:rsidRDefault="001B2625" w:rsidP="000F122F">
            <w:pPr>
              <w:rPr>
                <w:rFonts w:ascii="Times New Roman" w:hAnsi="Times New Roman" w:cs="Times New Roman"/>
                <w:sz w:val="18"/>
                <w:szCs w:val="18"/>
              </w:rPr>
            </w:pPr>
          </w:p>
          <w:p w14:paraId="36906959" w14:textId="77777777" w:rsidR="001B2625" w:rsidRPr="000A7465" w:rsidRDefault="001B2625" w:rsidP="000F122F">
            <w:pPr>
              <w:rPr>
                <w:rFonts w:ascii="Times New Roman" w:hAnsi="Times New Roman" w:cs="Times New Roman"/>
                <w:b/>
                <w:sz w:val="18"/>
                <w:szCs w:val="18"/>
              </w:rPr>
            </w:pPr>
          </w:p>
        </w:tc>
      </w:tr>
      <w:tr w:rsidR="001B2625" w:rsidRPr="000A7465" w14:paraId="24385C26" w14:textId="77777777" w:rsidTr="00C609F5">
        <w:trPr>
          <w:gridBefore w:val="1"/>
          <w:gridAfter w:val="1"/>
          <w:wBefore w:w="455" w:type="dxa"/>
          <w:wAfter w:w="528" w:type="dxa"/>
          <w:trHeight w:val="179"/>
        </w:trPr>
        <w:tc>
          <w:tcPr>
            <w:tcW w:w="1936" w:type="dxa"/>
          </w:tcPr>
          <w:p w14:paraId="09B95C7C" w14:textId="703EB266" w:rsidR="001B2625" w:rsidRPr="000A7465" w:rsidRDefault="001B2625" w:rsidP="00F56EE7">
            <w:pPr>
              <w:rPr>
                <w:rFonts w:ascii="Times New Roman" w:hAnsi="Times New Roman" w:cs="Times New Roman"/>
                <w:b/>
                <w:sz w:val="18"/>
                <w:szCs w:val="18"/>
              </w:rPr>
            </w:pPr>
            <w:r w:rsidRPr="000A7465">
              <w:rPr>
                <w:rFonts w:ascii="Times New Roman" w:hAnsi="Times New Roman" w:cs="Times New Roman"/>
                <w:b/>
                <w:sz w:val="18"/>
                <w:szCs w:val="18"/>
              </w:rPr>
              <w:t>Author/Year</w:t>
            </w:r>
            <w:r w:rsidRPr="000A7465">
              <w:rPr>
                <w:rFonts w:ascii="Times New Roman" w:hAnsi="Times New Roman" w:cs="Times New Roman"/>
                <w:sz w:val="18"/>
                <w:szCs w:val="18"/>
              </w:rPr>
              <w:t>: O’Brien &amp; Finch 2016</w:t>
            </w:r>
            <w:r w:rsidRPr="000A7465">
              <w:rPr>
                <w:rFonts w:ascii="Times New Roman" w:hAnsi="Times New Roman" w:cs="Times New Roman"/>
                <w:b/>
                <w:sz w:val="18"/>
                <w:szCs w:val="18"/>
              </w:rPr>
              <w:fldChar w:fldCharType="begin"/>
            </w:r>
            <w:r w:rsidRPr="000A7465">
              <w:rPr>
                <w:rFonts w:ascii="Times New Roman" w:hAnsi="Times New Roman" w:cs="Times New Roman"/>
                <w:b/>
                <w:sz w:val="18"/>
                <w:szCs w:val="18"/>
              </w:rPr>
              <w:instrText>ADDIN F1000_CSL_CITATION&lt;~#@#~&gt;[{"DOI":"10.1136/bmjsem-2015-000075","First":false,"Last":false,"PMCID":"PMC5117035","PMID":"27900158","abstract":"&lt;strong&gt;BACKGROUND:&lt;/strong&gt; There are well-known challenges to implementing injury prevention strategies in amateur soccer, but information from other soccer settings is scarce. This cross-sectional survey analysed the injury prevention perceptions of soccer coaches, fitness coaches and physiotherapists from 4 male teams in a professional youth soccer academy.&lt;br&gt;&lt;br&gt;&lt;strong&gt;METHODS:&lt;/strong&gt; The respondents (n=18) completed a web-based survey relating to lower limb (LL) soccer injuries, the value and practicality of injury prevention exercise programmes (IPEPs) in general and, more specifically, the IPEP endorsed by FIFA, the FIFA 11+.&lt;br&gt;&lt;br&gt;&lt;strong&gt;RESULTS:&lt;/strong&gt; There were very high levels of agreement regarding players' susceptibility to LL injury and the seriousness of these injuries. Respondents agreed unanimously that players should perform evidence-based injury prevention exercises. Despite 61% of respondents having previously heard of the FIFA 11+, just 6% reported current use of the full programme, with a further 22% reporting modified use. 22% believed the FIFA 11+ contained adequate variation and progression for their team and 78% felt it needed improvement. Respondents identified multiple barriers and facilitators to maintaining IPEPs, relating either to the programme content (eg, exercise variation), or the delivery and support of the programme (eg, coach acceptance).&lt;br&gt;&lt;br&gt;&lt;strong&gt;CONCLUSIONS:&lt;/strong&gt; The coaches, fitness coaches and physiotherapists of professional youth teams support the use of IPEPs, but enhancing their impact requires tailoring of programme content, along with adequate delivery and support at multiple levels. The findings suggest that the FIFA 11+ needs modification for use in professional youth soccer teams.","author":[{"family":"O'Brien","given":"James"},{"family":"Finch","given":"Caroline F"}],"citation-label":"6284870","container-title":"BMJ open sport &amp; exercise medicine","container-title-short":"BMJ Open Sport Exerc. Med.","id":"6284870","invisible":false,"issue":"1","issued":{"date-parts":[["2016","1","4"]]},"journalAbbreviation":"BMJ Open Sport Exerc. Med.","page":"e000075","suppress-author":false,"title":"Injury prevention exercise programmes in professional youth soccer: understanding the perceptions of programme deliverers.","type":"article-journal","volume":"2"}]</w:instrText>
            </w:r>
            <w:r w:rsidRPr="000A7465">
              <w:rPr>
                <w:rFonts w:ascii="Times New Roman" w:hAnsi="Times New Roman" w:cs="Times New Roman"/>
                <w:b/>
                <w:sz w:val="18"/>
                <w:szCs w:val="18"/>
              </w:rPr>
              <w:fldChar w:fldCharType="separate"/>
            </w:r>
            <w:r w:rsidRPr="000A7465">
              <w:rPr>
                <w:rFonts w:ascii="Times New Roman" w:hAnsi="Times New Roman" w:cs="Times New Roman"/>
                <w:sz w:val="18"/>
                <w:szCs w:val="18"/>
                <w:vertAlign w:val="superscript"/>
              </w:rPr>
              <w:t>10</w:t>
            </w:r>
            <w:r w:rsidRPr="000A7465">
              <w:rPr>
                <w:rFonts w:ascii="Times New Roman" w:hAnsi="Times New Roman" w:cs="Times New Roman"/>
                <w:sz w:val="18"/>
                <w:szCs w:val="18"/>
              </w:rPr>
              <w:fldChar w:fldCharType="end"/>
            </w:r>
          </w:p>
          <w:p w14:paraId="3FD7D405" w14:textId="7F3428BF" w:rsidR="001B2625" w:rsidRPr="000A7465" w:rsidRDefault="001B2625" w:rsidP="00467597">
            <w:pPr>
              <w:rPr>
                <w:rFonts w:ascii="Times New Roman" w:hAnsi="Times New Roman" w:cs="Times New Roman"/>
                <w:sz w:val="18"/>
                <w:szCs w:val="18"/>
              </w:rPr>
            </w:pPr>
          </w:p>
          <w:p w14:paraId="55EDAD2A" w14:textId="77777777" w:rsidR="001B2625" w:rsidRPr="000A7465" w:rsidRDefault="001B2625" w:rsidP="00467597">
            <w:pPr>
              <w:rPr>
                <w:rFonts w:ascii="Times New Roman" w:hAnsi="Times New Roman" w:cs="Times New Roman"/>
                <w:sz w:val="18"/>
                <w:szCs w:val="18"/>
              </w:rPr>
            </w:pPr>
          </w:p>
          <w:p w14:paraId="1A190CEF" w14:textId="50067B4E" w:rsidR="001B2625" w:rsidRPr="000A7465" w:rsidRDefault="001B2625" w:rsidP="00467597">
            <w:pPr>
              <w:rPr>
                <w:rFonts w:ascii="Times New Roman" w:hAnsi="Times New Roman" w:cs="Times New Roman"/>
                <w:sz w:val="18"/>
                <w:szCs w:val="18"/>
              </w:rPr>
            </w:pPr>
            <w:r w:rsidRPr="000A7465">
              <w:rPr>
                <w:rFonts w:ascii="Times New Roman" w:hAnsi="Times New Roman" w:cs="Times New Roman"/>
                <w:b/>
                <w:sz w:val="18"/>
                <w:szCs w:val="18"/>
              </w:rPr>
              <w:lastRenderedPageBreak/>
              <w:t>Study Design</w:t>
            </w:r>
            <w:r w:rsidRPr="000A7465">
              <w:rPr>
                <w:rFonts w:ascii="Times New Roman" w:hAnsi="Times New Roman" w:cs="Times New Roman"/>
                <w:sz w:val="18"/>
                <w:szCs w:val="18"/>
              </w:rPr>
              <w:t>: cross sectional survey</w:t>
            </w:r>
          </w:p>
          <w:p w14:paraId="4E11FD26" w14:textId="77777777" w:rsidR="001B2625" w:rsidRPr="000A7465" w:rsidRDefault="001B2625" w:rsidP="00467597">
            <w:pPr>
              <w:rPr>
                <w:rFonts w:ascii="Times New Roman" w:hAnsi="Times New Roman" w:cs="Times New Roman"/>
                <w:sz w:val="18"/>
                <w:szCs w:val="18"/>
              </w:rPr>
            </w:pPr>
          </w:p>
          <w:p w14:paraId="232969DB" w14:textId="65DE5581" w:rsidR="001B2625" w:rsidRPr="000A7465" w:rsidRDefault="001B2625" w:rsidP="00467597">
            <w:pPr>
              <w:rPr>
                <w:rFonts w:ascii="Times New Roman" w:hAnsi="Times New Roman" w:cs="Times New Roman"/>
                <w:sz w:val="18"/>
                <w:szCs w:val="18"/>
              </w:rPr>
            </w:pPr>
            <w:r w:rsidRPr="000A7465">
              <w:rPr>
                <w:rFonts w:ascii="Times New Roman" w:hAnsi="Times New Roman" w:cs="Times New Roman"/>
                <w:b/>
                <w:sz w:val="18"/>
                <w:szCs w:val="18"/>
              </w:rPr>
              <w:t>Level of evidence</w:t>
            </w:r>
            <w:r w:rsidRPr="000A7465">
              <w:rPr>
                <w:rFonts w:ascii="Times New Roman" w:hAnsi="Times New Roman" w:cs="Times New Roman"/>
                <w:sz w:val="18"/>
                <w:szCs w:val="18"/>
              </w:rPr>
              <w:t>: 4</w:t>
            </w:r>
          </w:p>
          <w:p w14:paraId="6E2F4D9F" w14:textId="77777777" w:rsidR="001B2625" w:rsidRPr="000A7465" w:rsidRDefault="001B2625" w:rsidP="00467597">
            <w:pPr>
              <w:rPr>
                <w:rFonts w:ascii="Times New Roman" w:hAnsi="Times New Roman" w:cs="Times New Roman"/>
                <w:sz w:val="18"/>
                <w:szCs w:val="18"/>
              </w:rPr>
            </w:pPr>
          </w:p>
          <w:p w14:paraId="012BEEB1" w14:textId="70479A6D" w:rsidR="001B2625" w:rsidRPr="000A7465" w:rsidRDefault="001B2625" w:rsidP="00870587">
            <w:pPr>
              <w:rPr>
                <w:rFonts w:ascii="Times New Roman" w:hAnsi="Times New Roman" w:cs="Times New Roman"/>
                <w:b/>
                <w:sz w:val="18"/>
                <w:szCs w:val="18"/>
              </w:rPr>
            </w:pPr>
            <w:r w:rsidRPr="000A7465">
              <w:rPr>
                <w:rFonts w:ascii="Times New Roman" w:hAnsi="Times New Roman" w:cs="Times New Roman"/>
                <w:b/>
                <w:sz w:val="18"/>
                <w:szCs w:val="18"/>
              </w:rPr>
              <w:t>Aim</w:t>
            </w:r>
            <w:r w:rsidRPr="000A7465">
              <w:rPr>
                <w:rFonts w:ascii="Times New Roman" w:hAnsi="Times New Roman" w:cs="Times New Roman"/>
                <w:sz w:val="18"/>
                <w:szCs w:val="18"/>
              </w:rPr>
              <w:t>: identify challenges in implementing the injury prevention programs in amateur soccer</w:t>
            </w:r>
          </w:p>
        </w:tc>
        <w:tc>
          <w:tcPr>
            <w:tcW w:w="4380" w:type="dxa"/>
          </w:tcPr>
          <w:p w14:paraId="3F6E753B" w14:textId="41EF7D92" w:rsidR="001B2625" w:rsidRPr="000A7465" w:rsidRDefault="001B2625" w:rsidP="001E3807">
            <w:pPr>
              <w:rPr>
                <w:rFonts w:ascii="Times New Roman" w:hAnsi="Times New Roman" w:cs="Times New Roman"/>
                <w:sz w:val="18"/>
                <w:szCs w:val="18"/>
              </w:rPr>
            </w:pPr>
            <w:r w:rsidRPr="000A7465">
              <w:rPr>
                <w:rFonts w:ascii="Times New Roman" w:hAnsi="Times New Roman" w:cs="Times New Roman"/>
                <w:b/>
                <w:sz w:val="18"/>
                <w:szCs w:val="18"/>
              </w:rPr>
              <w:lastRenderedPageBreak/>
              <w:t>Participants</w:t>
            </w:r>
            <w:r w:rsidRPr="000A7465">
              <w:rPr>
                <w:rFonts w:ascii="Times New Roman" w:hAnsi="Times New Roman" w:cs="Times New Roman"/>
                <w:sz w:val="18"/>
                <w:szCs w:val="18"/>
              </w:rPr>
              <w:t xml:space="preserve">: n = 18 respondents (out of 20 eligible) </w:t>
            </w:r>
          </w:p>
          <w:p w14:paraId="0B943D37" w14:textId="42E1FDCD" w:rsidR="001B2625" w:rsidRPr="000A7465" w:rsidRDefault="001B2625" w:rsidP="001E3807">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rPr>
              <w:t xml:space="preserve">Coaches, fitness coaches, and physical therapists who worked for one of four male youth soccer teams. All of the teams played in the “Elite European Soccer Academy” </w:t>
            </w:r>
          </w:p>
          <w:p w14:paraId="1BB1223B" w14:textId="72D2753D" w:rsidR="001B2625" w:rsidRPr="000A7465" w:rsidRDefault="001B2625" w:rsidP="001E3807">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rPr>
              <w:lastRenderedPageBreak/>
              <w:t xml:space="preserve">Total: 9 coaches, 4 fitness coaches, 5 physical therapists </w:t>
            </w:r>
          </w:p>
          <w:p w14:paraId="780657B7" w14:textId="77777777" w:rsidR="001B2625" w:rsidRPr="000A7465" w:rsidRDefault="001B2625" w:rsidP="00333AB0">
            <w:pPr>
              <w:rPr>
                <w:rFonts w:ascii="Times New Roman" w:hAnsi="Times New Roman" w:cs="Times New Roman"/>
                <w:b/>
                <w:sz w:val="18"/>
                <w:szCs w:val="18"/>
              </w:rPr>
            </w:pPr>
          </w:p>
          <w:p w14:paraId="0E97D0FE" w14:textId="77777777" w:rsidR="001B2625" w:rsidRPr="000A7465" w:rsidRDefault="001B2625" w:rsidP="00333AB0">
            <w:pPr>
              <w:rPr>
                <w:rFonts w:ascii="Times New Roman" w:hAnsi="Times New Roman" w:cs="Times New Roman"/>
                <w:sz w:val="18"/>
                <w:szCs w:val="18"/>
              </w:rPr>
            </w:pPr>
            <w:r w:rsidRPr="000A7465">
              <w:rPr>
                <w:rFonts w:ascii="Times New Roman" w:hAnsi="Times New Roman" w:cs="Times New Roman"/>
                <w:b/>
                <w:sz w:val="18"/>
                <w:szCs w:val="18"/>
              </w:rPr>
              <w:t>Survey</w:t>
            </w:r>
            <w:r w:rsidRPr="000A7465">
              <w:rPr>
                <w:rFonts w:ascii="Times New Roman" w:hAnsi="Times New Roman" w:cs="Times New Roman"/>
                <w:sz w:val="18"/>
                <w:szCs w:val="18"/>
              </w:rPr>
              <w:t xml:space="preserve">: </w:t>
            </w:r>
          </w:p>
          <w:p w14:paraId="713967AD" w14:textId="781802D8" w:rsidR="001B2625" w:rsidRPr="000A7465" w:rsidRDefault="001B2625" w:rsidP="001E3807">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rPr>
              <w:t xml:space="preserve">Web-based questionnaire regarding the value and the use of IPPs generally and the “11+” IPP </w:t>
            </w:r>
          </w:p>
          <w:p w14:paraId="775505CF" w14:textId="77777777" w:rsidR="001B2625" w:rsidRPr="000A7465" w:rsidRDefault="001B2625" w:rsidP="00BB1115">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rPr>
              <w:t>Open and closed ended questions</w:t>
            </w:r>
          </w:p>
          <w:p w14:paraId="0D709D1F" w14:textId="45297B44" w:rsidR="001B2625" w:rsidRPr="000A7465" w:rsidRDefault="001B2625" w:rsidP="004E2A12">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rPr>
              <w:t>Outcome based on percentage of respondents who selected the specific answer</w:t>
            </w:r>
          </w:p>
        </w:tc>
        <w:tc>
          <w:tcPr>
            <w:tcW w:w="4584" w:type="dxa"/>
          </w:tcPr>
          <w:p w14:paraId="4654F7FE" w14:textId="5D63144C" w:rsidR="001B2625" w:rsidRPr="000A7465" w:rsidRDefault="001B2625" w:rsidP="000667CC">
            <w:pPr>
              <w:rPr>
                <w:rFonts w:ascii="Times New Roman" w:hAnsi="Times New Roman" w:cs="Times New Roman"/>
                <w:sz w:val="18"/>
                <w:szCs w:val="18"/>
              </w:rPr>
            </w:pPr>
            <w:r w:rsidRPr="000A7465">
              <w:rPr>
                <w:rFonts w:ascii="Times New Roman" w:hAnsi="Times New Roman" w:cs="Times New Roman"/>
                <w:b/>
                <w:sz w:val="18"/>
                <w:szCs w:val="18"/>
              </w:rPr>
              <w:lastRenderedPageBreak/>
              <w:t>Beliefs regarding injuries</w:t>
            </w:r>
            <w:r w:rsidRPr="000A7465">
              <w:rPr>
                <w:rFonts w:ascii="Times New Roman" w:hAnsi="Times New Roman" w:cs="Times New Roman"/>
                <w:sz w:val="18"/>
                <w:szCs w:val="18"/>
              </w:rPr>
              <w:t xml:space="preserve">: 100% of respondents felt that soccer players were at high risk for a LE injury. All respondents also identified the potential consequences of these injuries. 100% of respondents felt that it was possible to prevent some LE soccer-related injuries. </w:t>
            </w:r>
          </w:p>
          <w:p w14:paraId="44BAAE41" w14:textId="77777777" w:rsidR="001B2625" w:rsidRPr="000A7465" w:rsidRDefault="001B2625" w:rsidP="000667CC">
            <w:pPr>
              <w:rPr>
                <w:rFonts w:ascii="Times New Roman" w:hAnsi="Times New Roman" w:cs="Times New Roman"/>
                <w:b/>
                <w:sz w:val="18"/>
                <w:szCs w:val="18"/>
              </w:rPr>
            </w:pPr>
          </w:p>
          <w:p w14:paraId="655B2276" w14:textId="211CB042" w:rsidR="001B2625" w:rsidRPr="000A7465" w:rsidRDefault="001B2625" w:rsidP="000667CC">
            <w:pPr>
              <w:rPr>
                <w:rFonts w:ascii="Times New Roman" w:hAnsi="Times New Roman" w:cs="Times New Roman"/>
                <w:sz w:val="18"/>
                <w:szCs w:val="18"/>
              </w:rPr>
            </w:pPr>
            <w:r w:rsidRPr="000A7465">
              <w:rPr>
                <w:rFonts w:ascii="Times New Roman" w:hAnsi="Times New Roman" w:cs="Times New Roman"/>
                <w:b/>
                <w:sz w:val="18"/>
                <w:szCs w:val="18"/>
              </w:rPr>
              <w:t xml:space="preserve">Appropriate length of time for injury prevention program: </w:t>
            </w:r>
            <w:r w:rsidRPr="000A7465">
              <w:rPr>
                <w:rFonts w:ascii="Times New Roman" w:hAnsi="Times New Roman" w:cs="Times New Roman"/>
                <w:sz w:val="18"/>
                <w:szCs w:val="18"/>
              </w:rPr>
              <w:t xml:space="preserve">15 min (28%), 20 min (22%), 25 min (22%) </w:t>
            </w:r>
          </w:p>
          <w:p w14:paraId="3D836CF6" w14:textId="77777777" w:rsidR="001B2625" w:rsidRPr="000A7465" w:rsidRDefault="001B2625" w:rsidP="000667CC">
            <w:pPr>
              <w:rPr>
                <w:rFonts w:ascii="Times New Roman" w:hAnsi="Times New Roman" w:cs="Times New Roman"/>
                <w:sz w:val="18"/>
                <w:szCs w:val="18"/>
              </w:rPr>
            </w:pPr>
          </w:p>
          <w:p w14:paraId="64A29743" w14:textId="5C430D0A" w:rsidR="001B2625" w:rsidRPr="000A7465" w:rsidRDefault="001B2625" w:rsidP="000667CC">
            <w:pPr>
              <w:rPr>
                <w:rFonts w:ascii="Times New Roman" w:hAnsi="Times New Roman" w:cs="Times New Roman"/>
                <w:sz w:val="18"/>
                <w:szCs w:val="18"/>
              </w:rPr>
            </w:pPr>
            <w:r w:rsidRPr="000A7465">
              <w:rPr>
                <w:rFonts w:ascii="Times New Roman" w:hAnsi="Times New Roman" w:cs="Times New Roman"/>
                <w:b/>
                <w:sz w:val="18"/>
                <w:szCs w:val="18"/>
              </w:rPr>
              <w:t>Who are responsible for injury prevention</w:t>
            </w:r>
            <w:r w:rsidRPr="000A7465">
              <w:rPr>
                <w:rFonts w:ascii="Times New Roman" w:hAnsi="Times New Roman" w:cs="Times New Roman"/>
                <w:sz w:val="18"/>
                <w:szCs w:val="18"/>
              </w:rPr>
              <w:t>:  players (100%), fitness coaches (100%), physical therapists (100%), head coaches (94%)</w:t>
            </w:r>
          </w:p>
          <w:p w14:paraId="0F06D1E3" w14:textId="77777777" w:rsidR="001B2625" w:rsidRPr="000A7465" w:rsidRDefault="001B2625" w:rsidP="000667CC">
            <w:pPr>
              <w:rPr>
                <w:rFonts w:ascii="Times New Roman" w:hAnsi="Times New Roman" w:cs="Times New Roman"/>
                <w:sz w:val="18"/>
                <w:szCs w:val="18"/>
              </w:rPr>
            </w:pPr>
          </w:p>
          <w:p w14:paraId="2C961343" w14:textId="60B32B48" w:rsidR="001B2625" w:rsidRPr="000A7465" w:rsidRDefault="001B2625" w:rsidP="000667CC">
            <w:pPr>
              <w:rPr>
                <w:rFonts w:ascii="Times New Roman" w:hAnsi="Times New Roman" w:cs="Times New Roman"/>
                <w:sz w:val="18"/>
                <w:szCs w:val="18"/>
              </w:rPr>
            </w:pPr>
            <w:r w:rsidRPr="000A7465">
              <w:rPr>
                <w:rFonts w:ascii="Times New Roman" w:hAnsi="Times New Roman" w:cs="Times New Roman"/>
                <w:b/>
                <w:sz w:val="18"/>
                <w:szCs w:val="18"/>
              </w:rPr>
              <w:t>Knowledge and use of the “11+” IPP</w:t>
            </w:r>
            <w:r w:rsidRPr="000A7465">
              <w:rPr>
                <w:rFonts w:ascii="Times New Roman" w:hAnsi="Times New Roman" w:cs="Times New Roman"/>
                <w:sz w:val="18"/>
                <w:szCs w:val="18"/>
              </w:rPr>
              <w:t xml:space="preserve">: </w:t>
            </w:r>
          </w:p>
          <w:p w14:paraId="0276265A" w14:textId="44DC4FEA" w:rsidR="001B2625" w:rsidRPr="000A7465" w:rsidRDefault="001B2625" w:rsidP="00BB1115">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rPr>
              <w:t xml:space="preserve">64% of respondents were aware of the “11+” IPP </w:t>
            </w:r>
          </w:p>
          <w:p w14:paraId="09AA0511" w14:textId="031DF555" w:rsidR="001B2625" w:rsidRPr="000A7465" w:rsidRDefault="001B2625" w:rsidP="00BB1115">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rPr>
              <w:t>Only 28% indicated that their team used the “11+” IPP (22% used a modified version)</w:t>
            </w:r>
          </w:p>
          <w:p w14:paraId="11EBF5B1" w14:textId="25F559BD" w:rsidR="001B2625" w:rsidRPr="000A7465" w:rsidRDefault="001B2625" w:rsidP="00BB1115">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rPr>
              <w:t>83% of respondents believed that “11+” could prevent injuries, but only 44% believed it could be performed by their team over numerous seasons</w:t>
            </w:r>
          </w:p>
          <w:p w14:paraId="2BDC9982" w14:textId="7FE28D32" w:rsidR="001B2625" w:rsidRPr="000A7465" w:rsidRDefault="001B2625" w:rsidP="00BB1115">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rPr>
              <w:t>78% believed that the “11+” IPP needed improvements</w:t>
            </w:r>
          </w:p>
          <w:p w14:paraId="3E35EF35" w14:textId="77777777" w:rsidR="001B2625" w:rsidRPr="000A7465" w:rsidRDefault="001B2625" w:rsidP="002472FE">
            <w:pPr>
              <w:rPr>
                <w:rFonts w:ascii="Times New Roman" w:hAnsi="Times New Roman" w:cs="Times New Roman"/>
                <w:sz w:val="18"/>
                <w:szCs w:val="18"/>
              </w:rPr>
            </w:pPr>
          </w:p>
          <w:p w14:paraId="3A33AE68" w14:textId="77777777" w:rsidR="001B2625" w:rsidRPr="000A7465" w:rsidRDefault="001B2625" w:rsidP="002472FE">
            <w:pPr>
              <w:rPr>
                <w:rFonts w:ascii="Times New Roman" w:hAnsi="Times New Roman" w:cs="Times New Roman"/>
                <w:sz w:val="18"/>
                <w:szCs w:val="18"/>
              </w:rPr>
            </w:pPr>
            <w:r w:rsidRPr="000A7465">
              <w:rPr>
                <w:rFonts w:ascii="Times New Roman" w:hAnsi="Times New Roman" w:cs="Times New Roman"/>
                <w:b/>
                <w:sz w:val="18"/>
                <w:szCs w:val="18"/>
              </w:rPr>
              <w:t>Identified barriers</w:t>
            </w:r>
            <w:r w:rsidRPr="000A7465">
              <w:rPr>
                <w:rFonts w:ascii="Times New Roman" w:hAnsi="Times New Roman" w:cs="Times New Roman"/>
                <w:sz w:val="18"/>
                <w:szCs w:val="18"/>
              </w:rPr>
              <w:t xml:space="preserve">: </w:t>
            </w:r>
          </w:p>
          <w:p w14:paraId="5732E6C6" w14:textId="0AE2747B" w:rsidR="001B2625" w:rsidRPr="000A7465" w:rsidRDefault="001B2625" w:rsidP="002472FE">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rPr>
              <w:t>IPP context: “boring, monotonous, lack of effectiveness and objective measures”</w:t>
            </w:r>
          </w:p>
          <w:p w14:paraId="56CC0C80" w14:textId="77777777" w:rsidR="001B2625" w:rsidRPr="000A7465" w:rsidRDefault="001B2625" w:rsidP="002472FE">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rPr>
              <w:t>Player subtheme: “lack of knowledge” “lack of motivation”</w:t>
            </w:r>
          </w:p>
          <w:p w14:paraId="6D086AC8" w14:textId="77777777" w:rsidR="001B2625" w:rsidRPr="000A7465" w:rsidRDefault="001B2625" w:rsidP="002472FE">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rPr>
              <w:t xml:space="preserve">Team staff subtheme: “lack of staff numbers” “lack of support from other staff” “lack of communication” </w:t>
            </w:r>
          </w:p>
          <w:p w14:paraId="76F56427" w14:textId="77777777" w:rsidR="001B2625" w:rsidRPr="000A7465" w:rsidRDefault="001B2625" w:rsidP="002472FE">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rPr>
              <w:t>Club subtheme: “pressure to win” “lack of structure and support”</w:t>
            </w:r>
          </w:p>
          <w:p w14:paraId="5E32EC62" w14:textId="6A9AFEEE" w:rsidR="001B2625" w:rsidRPr="000A7465" w:rsidRDefault="001B2625" w:rsidP="002472FE">
            <w:pPr>
              <w:rPr>
                <w:rFonts w:ascii="Times New Roman" w:hAnsi="Times New Roman" w:cs="Times New Roman"/>
                <w:sz w:val="18"/>
                <w:szCs w:val="18"/>
              </w:rPr>
            </w:pPr>
          </w:p>
          <w:p w14:paraId="3448772B" w14:textId="45C73E9B" w:rsidR="001B2625" w:rsidRPr="000A7465" w:rsidRDefault="001B2625" w:rsidP="000667CC">
            <w:pPr>
              <w:rPr>
                <w:rFonts w:ascii="Times New Roman" w:hAnsi="Times New Roman" w:cs="Times New Roman"/>
                <w:sz w:val="18"/>
                <w:szCs w:val="18"/>
              </w:rPr>
            </w:pPr>
            <w:r w:rsidRPr="000A7465">
              <w:rPr>
                <w:rFonts w:ascii="Times New Roman" w:hAnsi="Times New Roman" w:cs="Times New Roman"/>
                <w:b/>
                <w:sz w:val="18"/>
                <w:szCs w:val="18"/>
              </w:rPr>
              <w:t>Identified Facilitators</w:t>
            </w:r>
            <w:r w:rsidRPr="000A7465">
              <w:rPr>
                <w:rFonts w:ascii="Times New Roman" w:hAnsi="Times New Roman" w:cs="Times New Roman"/>
                <w:sz w:val="18"/>
                <w:szCs w:val="18"/>
              </w:rPr>
              <w:t>: “fun and challenging exercises” “positive effect on injury statistics” “progression and variation of exercises” “motivation” “acceptance/support from head coach” “staff numbers” “club structure and support”</w:t>
            </w:r>
          </w:p>
        </w:tc>
        <w:tc>
          <w:tcPr>
            <w:tcW w:w="3495" w:type="dxa"/>
          </w:tcPr>
          <w:p w14:paraId="553E9DD4" w14:textId="07B99F9F" w:rsidR="001B2625" w:rsidRPr="000A7465" w:rsidRDefault="001B2625" w:rsidP="00A82EC1">
            <w:pPr>
              <w:rPr>
                <w:rFonts w:ascii="Times New Roman" w:hAnsi="Times New Roman" w:cs="Times New Roman"/>
                <w:sz w:val="18"/>
                <w:szCs w:val="18"/>
              </w:rPr>
            </w:pPr>
            <w:r w:rsidRPr="000A7465">
              <w:rPr>
                <w:rFonts w:ascii="Times New Roman" w:hAnsi="Times New Roman" w:cs="Times New Roman"/>
                <w:b/>
                <w:sz w:val="18"/>
                <w:szCs w:val="18"/>
              </w:rPr>
              <w:lastRenderedPageBreak/>
              <w:t>Conclusion</w:t>
            </w:r>
            <w:r w:rsidRPr="000A7465">
              <w:rPr>
                <w:rFonts w:ascii="Times New Roman" w:hAnsi="Times New Roman" w:cs="Times New Roman"/>
                <w:sz w:val="18"/>
                <w:szCs w:val="18"/>
              </w:rPr>
              <w:t xml:space="preserve">: coaches and fitness staff working with youth soccer player teams recognized the risk of serious injuries and support the use of evidenced based IPPs. Despite being aware of the “11+” IPP, only </w:t>
            </w:r>
            <w:r w:rsidRPr="000A7465">
              <w:rPr>
                <w:rFonts w:ascii="Times New Roman" w:hAnsi="Times New Roman" w:cs="Times New Roman"/>
                <w:sz w:val="18"/>
                <w:szCs w:val="18"/>
              </w:rPr>
              <w:lastRenderedPageBreak/>
              <w:t>1/3 of teams used the program and mostly in a modified form. There are many barriers to implementation of IPPs in this population.</w:t>
            </w:r>
          </w:p>
          <w:p w14:paraId="6847A76E" w14:textId="77777777" w:rsidR="001B2625" w:rsidRPr="000A7465" w:rsidRDefault="001B2625" w:rsidP="00A82EC1">
            <w:pPr>
              <w:rPr>
                <w:rFonts w:ascii="Times New Roman" w:hAnsi="Times New Roman" w:cs="Times New Roman"/>
                <w:sz w:val="18"/>
                <w:szCs w:val="18"/>
              </w:rPr>
            </w:pPr>
          </w:p>
          <w:p w14:paraId="335F97B5" w14:textId="77777777" w:rsidR="001B2625" w:rsidRPr="000A7465" w:rsidRDefault="001B2625" w:rsidP="00A82EC1">
            <w:pPr>
              <w:rPr>
                <w:rFonts w:ascii="Times New Roman" w:hAnsi="Times New Roman" w:cs="Times New Roman"/>
                <w:sz w:val="18"/>
                <w:szCs w:val="18"/>
              </w:rPr>
            </w:pPr>
            <w:r w:rsidRPr="000A7465">
              <w:rPr>
                <w:rFonts w:ascii="Times New Roman" w:hAnsi="Times New Roman" w:cs="Times New Roman"/>
                <w:b/>
                <w:sz w:val="18"/>
                <w:szCs w:val="18"/>
              </w:rPr>
              <w:t>Limitations</w:t>
            </w:r>
            <w:r w:rsidRPr="000A7465">
              <w:rPr>
                <w:rFonts w:ascii="Times New Roman" w:hAnsi="Times New Roman" w:cs="Times New Roman"/>
                <w:sz w:val="18"/>
                <w:szCs w:val="18"/>
              </w:rPr>
              <w:t xml:space="preserve">: </w:t>
            </w:r>
          </w:p>
          <w:p w14:paraId="4D72DC5A" w14:textId="77777777" w:rsidR="001B2625" w:rsidRPr="000A7465" w:rsidRDefault="001B2625" w:rsidP="0069450A">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rPr>
              <w:t>Low quality evidence</w:t>
            </w:r>
          </w:p>
          <w:p w14:paraId="4A7C5A36" w14:textId="77777777" w:rsidR="001B2625" w:rsidRPr="000A7465" w:rsidRDefault="001B2625" w:rsidP="0069450A">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rPr>
              <w:t xml:space="preserve">Small sample size, insufficient power </w:t>
            </w:r>
          </w:p>
          <w:p w14:paraId="1F9DAA94" w14:textId="77777777" w:rsidR="001B2625" w:rsidRPr="000A7465" w:rsidRDefault="001B2625" w:rsidP="0069450A">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rPr>
              <w:t>Survey has not been validated (except for face and content validity)</w:t>
            </w:r>
          </w:p>
          <w:p w14:paraId="33B3905A" w14:textId="00FC4D25" w:rsidR="001B2625" w:rsidRPr="000A7465" w:rsidRDefault="001B2625" w:rsidP="00A82EC1">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rPr>
              <w:t>Homogenous sample, limited external validity</w:t>
            </w:r>
          </w:p>
          <w:p w14:paraId="12CF0870" w14:textId="77777777" w:rsidR="001B2625" w:rsidRPr="000A7465" w:rsidRDefault="001B2625" w:rsidP="00A82EC1">
            <w:pPr>
              <w:rPr>
                <w:rFonts w:ascii="Times New Roman" w:hAnsi="Times New Roman" w:cs="Times New Roman"/>
                <w:sz w:val="18"/>
                <w:szCs w:val="18"/>
              </w:rPr>
            </w:pPr>
          </w:p>
          <w:p w14:paraId="6A2846F0" w14:textId="77777777" w:rsidR="001B2625" w:rsidRPr="000A7465" w:rsidRDefault="001B2625" w:rsidP="00A82EC1">
            <w:pPr>
              <w:rPr>
                <w:rFonts w:ascii="Times New Roman" w:hAnsi="Times New Roman" w:cs="Times New Roman"/>
                <w:sz w:val="18"/>
                <w:szCs w:val="18"/>
              </w:rPr>
            </w:pPr>
            <w:r w:rsidRPr="000A7465">
              <w:rPr>
                <w:rFonts w:ascii="Times New Roman" w:hAnsi="Times New Roman" w:cs="Times New Roman"/>
                <w:b/>
                <w:sz w:val="18"/>
                <w:szCs w:val="18"/>
              </w:rPr>
              <w:t>Strengths</w:t>
            </w:r>
            <w:r w:rsidRPr="000A7465">
              <w:rPr>
                <w:rFonts w:ascii="Times New Roman" w:hAnsi="Times New Roman" w:cs="Times New Roman"/>
                <w:sz w:val="18"/>
                <w:szCs w:val="18"/>
              </w:rPr>
              <w:t>:</w:t>
            </w:r>
          </w:p>
          <w:p w14:paraId="26365A1E" w14:textId="434FCD4B" w:rsidR="001B2625" w:rsidRPr="000A7465" w:rsidRDefault="001B2625" w:rsidP="0069450A">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rPr>
              <w:t>Preliminary evidence to gain insight into staff’s perceptions</w:t>
            </w:r>
          </w:p>
          <w:p w14:paraId="0E2BEDF8" w14:textId="77777777" w:rsidR="001B2625" w:rsidRPr="000A7465" w:rsidRDefault="001B2625" w:rsidP="0069450A">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rPr>
              <w:t xml:space="preserve">Open ended questions </w:t>
            </w:r>
          </w:p>
          <w:p w14:paraId="5B1087D8" w14:textId="739AC045" w:rsidR="001B2625" w:rsidRPr="000A7465" w:rsidRDefault="001B2625" w:rsidP="001B2625">
            <w:pPr>
              <w:ind w:left="72"/>
              <w:rPr>
                <w:rFonts w:ascii="Times New Roman" w:hAnsi="Times New Roman" w:cs="Times New Roman"/>
                <w:sz w:val="18"/>
                <w:szCs w:val="18"/>
              </w:rPr>
            </w:pPr>
          </w:p>
        </w:tc>
      </w:tr>
      <w:tr w:rsidR="001B2625" w:rsidRPr="000A7465" w14:paraId="555D8FCA" w14:textId="77777777" w:rsidTr="00C609F5">
        <w:trPr>
          <w:gridBefore w:val="1"/>
          <w:gridAfter w:val="1"/>
          <w:wBefore w:w="455" w:type="dxa"/>
          <w:wAfter w:w="528" w:type="dxa"/>
          <w:trHeight w:val="3140"/>
        </w:trPr>
        <w:tc>
          <w:tcPr>
            <w:tcW w:w="1936" w:type="dxa"/>
          </w:tcPr>
          <w:p w14:paraId="7D6CF31A" w14:textId="4ED6095D" w:rsidR="001B2625" w:rsidRPr="000A7465" w:rsidRDefault="001B2625" w:rsidP="00903C61">
            <w:pPr>
              <w:rPr>
                <w:rFonts w:ascii="Times New Roman" w:hAnsi="Times New Roman" w:cs="Times New Roman"/>
                <w:sz w:val="18"/>
                <w:szCs w:val="18"/>
              </w:rPr>
            </w:pPr>
            <w:r w:rsidRPr="000A7465">
              <w:rPr>
                <w:rFonts w:ascii="Times New Roman" w:hAnsi="Times New Roman" w:cs="Times New Roman"/>
                <w:b/>
                <w:sz w:val="18"/>
                <w:szCs w:val="18"/>
              </w:rPr>
              <w:lastRenderedPageBreak/>
              <w:t>Author/Year</w:t>
            </w:r>
            <w:r w:rsidRPr="000A7465">
              <w:rPr>
                <w:rFonts w:ascii="Times New Roman" w:hAnsi="Times New Roman" w:cs="Times New Roman"/>
                <w:sz w:val="18"/>
                <w:szCs w:val="18"/>
              </w:rPr>
              <w:t>: Loose et al 2018</w:t>
            </w:r>
            <w:r w:rsidRPr="000A7465">
              <w:rPr>
                <w:rFonts w:ascii="Times New Roman" w:hAnsi="Times New Roman" w:cs="Times New Roman"/>
                <w:b/>
                <w:sz w:val="18"/>
                <w:szCs w:val="18"/>
              </w:rPr>
              <w:fldChar w:fldCharType="begin"/>
            </w:r>
            <w:r w:rsidRPr="000A7465">
              <w:rPr>
                <w:rFonts w:ascii="Times New Roman" w:hAnsi="Times New Roman" w:cs="Times New Roman"/>
                <w:b/>
                <w:sz w:val="18"/>
                <w:szCs w:val="18"/>
              </w:rPr>
              <w:instrText>ADDIN F1000_CSL_CITATION&lt;~#@#~&gt;[{"DOI":"10.1007/s00402-018-2937-6","First":false,"Last":false,"PMID":"29679206","author":[{"family":"Loose","given":"Oliver"},{"family":"Achenbach","given":"Leonard"},{"family":"Fellner","given":"Birgit"},{"family":"Lehmann","given":"Jennifer"},{"family":"Jansen","given":"Petra"},{"family":"Nerlich","given":"Michael"},{"family":"Angele","given":"Peter"},{"family":"Krutsch","given":"Werner"}],"citation-label":"6284864","container-title":"Archives of orthopaedic and trauma surgery","container-title-short":"Arch. Orthop. Trauma Surg.","id":"6284864","invisible":false,"issue":"7","issued":{"date-parts":[["2018","7"]]},"journalAbbreviation":"Arch. Orthop. Trauma Surg.","page":"985-992","suppress-author":false,"title":"Injury prevention and return to play strategies in elite football: no consent between players and team coaches.","type":"article-journal","volume":"138"}]</w:instrText>
            </w:r>
            <w:r w:rsidRPr="000A7465">
              <w:rPr>
                <w:rFonts w:ascii="Times New Roman" w:hAnsi="Times New Roman" w:cs="Times New Roman"/>
                <w:b/>
                <w:sz w:val="18"/>
                <w:szCs w:val="18"/>
              </w:rPr>
              <w:fldChar w:fldCharType="separate"/>
            </w:r>
            <w:r w:rsidRPr="000A7465">
              <w:rPr>
                <w:rFonts w:ascii="Times New Roman" w:hAnsi="Times New Roman" w:cs="Times New Roman"/>
                <w:sz w:val="18"/>
                <w:szCs w:val="18"/>
                <w:vertAlign w:val="superscript"/>
              </w:rPr>
              <w:t>11</w:t>
            </w:r>
            <w:r w:rsidRPr="000A7465">
              <w:rPr>
                <w:rFonts w:ascii="Times New Roman" w:hAnsi="Times New Roman" w:cs="Times New Roman"/>
                <w:sz w:val="18"/>
                <w:szCs w:val="18"/>
              </w:rPr>
              <w:fldChar w:fldCharType="end"/>
            </w:r>
          </w:p>
          <w:p w14:paraId="57B738C9" w14:textId="77777777" w:rsidR="001B2625" w:rsidRPr="000A7465" w:rsidRDefault="001B2625" w:rsidP="00903C61">
            <w:pPr>
              <w:rPr>
                <w:rFonts w:ascii="Times New Roman" w:hAnsi="Times New Roman" w:cs="Times New Roman"/>
                <w:sz w:val="18"/>
                <w:szCs w:val="18"/>
              </w:rPr>
            </w:pPr>
          </w:p>
          <w:p w14:paraId="2B0A591A" w14:textId="116EB4CF" w:rsidR="001B2625" w:rsidRPr="000A7465" w:rsidRDefault="001B2625" w:rsidP="00903C61">
            <w:pPr>
              <w:rPr>
                <w:rFonts w:ascii="Times New Roman" w:hAnsi="Times New Roman" w:cs="Times New Roman"/>
                <w:sz w:val="18"/>
                <w:szCs w:val="18"/>
              </w:rPr>
            </w:pPr>
            <w:r w:rsidRPr="000A7465">
              <w:rPr>
                <w:rFonts w:ascii="Times New Roman" w:hAnsi="Times New Roman" w:cs="Times New Roman"/>
                <w:b/>
                <w:sz w:val="18"/>
                <w:szCs w:val="18"/>
              </w:rPr>
              <w:t>Study Design</w:t>
            </w:r>
            <w:r w:rsidRPr="000A7465">
              <w:rPr>
                <w:rFonts w:ascii="Times New Roman" w:hAnsi="Times New Roman" w:cs="Times New Roman"/>
                <w:sz w:val="18"/>
                <w:szCs w:val="18"/>
              </w:rPr>
              <w:t>: cohort cross sectional survey</w:t>
            </w:r>
          </w:p>
          <w:p w14:paraId="47090B5E" w14:textId="77777777" w:rsidR="001B2625" w:rsidRPr="000A7465" w:rsidRDefault="001B2625" w:rsidP="00903C61">
            <w:pPr>
              <w:rPr>
                <w:rFonts w:ascii="Times New Roman" w:hAnsi="Times New Roman" w:cs="Times New Roman"/>
                <w:sz w:val="18"/>
                <w:szCs w:val="18"/>
              </w:rPr>
            </w:pPr>
          </w:p>
          <w:p w14:paraId="4105F595" w14:textId="77777777" w:rsidR="001B2625" w:rsidRPr="000A7465" w:rsidRDefault="001B2625" w:rsidP="00903C61">
            <w:pPr>
              <w:rPr>
                <w:rFonts w:ascii="Times New Roman" w:hAnsi="Times New Roman" w:cs="Times New Roman"/>
                <w:sz w:val="18"/>
                <w:szCs w:val="18"/>
              </w:rPr>
            </w:pPr>
            <w:r w:rsidRPr="000A7465">
              <w:rPr>
                <w:rFonts w:ascii="Times New Roman" w:hAnsi="Times New Roman" w:cs="Times New Roman"/>
                <w:b/>
                <w:sz w:val="18"/>
                <w:szCs w:val="18"/>
              </w:rPr>
              <w:t>Level of evidence</w:t>
            </w:r>
            <w:r w:rsidRPr="000A7465">
              <w:rPr>
                <w:rFonts w:ascii="Times New Roman" w:hAnsi="Times New Roman" w:cs="Times New Roman"/>
                <w:sz w:val="18"/>
                <w:szCs w:val="18"/>
              </w:rPr>
              <w:t>: 4</w:t>
            </w:r>
          </w:p>
          <w:p w14:paraId="1CAB2634" w14:textId="77777777" w:rsidR="001B2625" w:rsidRPr="000A7465" w:rsidRDefault="001B2625" w:rsidP="00903C61">
            <w:pPr>
              <w:rPr>
                <w:rFonts w:ascii="Times New Roman" w:hAnsi="Times New Roman" w:cs="Times New Roman"/>
                <w:sz w:val="18"/>
                <w:szCs w:val="18"/>
              </w:rPr>
            </w:pPr>
          </w:p>
          <w:p w14:paraId="39E69AA7" w14:textId="34412D1D" w:rsidR="001B2625" w:rsidRPr="000A7465" w:rsidRDefault="001B2625" w:rsidP="00E73D0C">
            <w:pPr>
              <w:rPr>
                <w:rFonts w:ascii="Times New Roman" w:hAnsi="Times New Roman" w:cs="Times New Roman"/>
                <w:b/>
                <w:sz w:val="18"/>
                <w:szCs w:val="18"/>
              </w:rPr>
            </w:pPr>
            <w:r w:rsidRPr="000A7465">
              <w:rPr>
                <w:rFonts w:ascii="Times New Roman" w:hAnsi="Times New Roman" w:cs="Times New Roman"/>
                <w:b/>
                <w:sz w:val="18"/>
                <w:szCs w:val="18"/>
              </w:rPr>
              <w:t>Aim</w:t>
            </w:r>
            <w:r w:rsidRPr="000A7465">
              <w:rPr>
                <w:rFonts w:ascii="Times New Roman" w:hAnsi="Times New Roman" w:cs="Times New Roman"/>
                <w:sz w:val="18"/>
                <w:szCs w:val="18"/>
              </w:rPr>
              <w:t xml:space="preserve">: identify and compare soccer players and soccer coaches perceptions on injury prevention and return to play </w:t>
            </w:r>
          </w:p>
        </w:tc>
        <w:tc>
          <w:tcPr>
            <w:tcW w:w="4380" w:type="dxa"/>
          </w:tcPr>
          <w:p w14:paraId="6F055362" w14:textId="607F2347" w:rsidR="001B2625" w:rsidRPr="000A7465" w:rsidRDefault="001B2625" w:rsidP="001E3807">
            <w:pPr>
              <w:rPr>
                <w:rFonts w:ascii="Times New Roman" w:hAnsi="Times New Roman" w:cs="Times New Roman"/>
                <w:sz w:val="18"/>
                <w:szCs w:val="18"/>
              </w:rPr>
            </w:pPr>
            <w:r w:rsidRPr="000A7465">
              <w:rPr>
                <w:rFonts w:ascii="Times New Roman" w:hAnsi="Times New Roman" w:cs="Times New Roman"/>
                <w:sz w:val="18"/>
                <w:szCs w:val="18"/>
              </w:rPr>
              <w:t xml:space="preserve">The survey was part of a larger interventional research project in Germany. Teams were contacted directly and those who agreed to participate were given a questionnaire </w:t>
            </w:r>
          </w:p>
          <w:p w14:paraId="13EC0E24" w14:textId="77777777" w:rsidR="001B2625" w:rsidRPr="000A7465" w:rsidRDefault="001B2625" w:rsidP="001E3807">
            <w:pPr>
              <w:rPr>
                <w:rFonts w:ascii="Times New Roman" w:hAnsi="Times New Roman" w:cs="Times New Roman"/>
                <w:sz w:val="18"/>
                <w:szCs w:val="18"/>
              </w:rPr>
            </w:pPr>
          </w:p>
          <w:p w14:paraId="20CEA6AD" w14:textId="77777777" w:rsidR="001B2625" w:rsidRPr="000A7465" w:rsidRDefault="001B2625" w:rsidP="001E3807">
            <w:pPr>
              <w:rPr>
                <w:rFonts w:ascii="Times New Roman" w:hAnsi="Times New Roman" w:cs="Times New Roman"/>
                <w:sz w:val="18"/>
                <w:szCs w:val="18"/>
              </w:rPr>
            </w:pPr>
            <w:r w:rsidRPr="000A7465">
              <w:rPr>
                <w:rFonts w:ascii="Times New Roman" w:hAnsi="Times New Roman" w:cs="Times New Roman"/>
                <w:b/>
                <w:sz w:val="18"/>
                <w:szCs w:val="18"/>
              </w:rPr>
              <w:t>Full study population</w:t>
            </w:r>
            <w:r w:rsidRPr="000A7465">
              <w:rPr>
                <w:rFonts w:ascii="Times New Roman" w:hAnsi="Times New Roman" w:cs="Times New Roman"/>
                <w:sz w:val="18"/>
                <w:szCs w:val="18"/>
              </w:rPr>
              <w:t>:</w:t>
            </w:r>
          </w:p>
          <w:p w14:paraId="2BB25C2D" w14:textId="51FB3C0F" w:rsidR="001B2625" w:rsidRPr="000A7465" w:rsidRDefault="001B2625" w:rsidP="00B0366B">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rPr>
              <w:t>62 teams in the elite football level in Germany (1527 players, 124 coaches)</w:t>
            </w:r>
          </w:p>
          <w:p w14:paraId="5EC7C398" w14:textId="05B1BBFF" w:rsidR="001B2625" w:rsidRPr="000A7465" w:rsidRDefault="00DE18BE" w:rsidP="0079043B">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rPr>
              <w:t xml:space="preserve">number </w:t>
            </w:r>
            <w:r w:rsidR="001B2625" w:rsidRPr="000A7465">
              <w:rPr>
                <w:rFonts w:ascii="Times New Roman" w:hAnsi="Times New Roman" w:cs="Times New Roman"/>
                <w:sz w:val="18"/>
                <w:szCs w:val="18"/>
              </w:rPr>
              <w:t xml:space="preserve">of respondents and information included in the analysis: 486 players; 88 coaches  </w:t>
            </w:r>
          </w:p>
        </w:tc>
        <w:tc>
          <w:tcPr>
            <w:tcW w:w="4584" w:type="dxa"/>
          </w:tcPr>
          <w:p w14:paraId="2AF881FF" w14:textId="77777777" w:rsidR="001B2625" w:rsidRPr="000A7465" w:rsidRDefault="001B2625" w:rsidP="000667CC">
            <w:pPr>
              <w:rPr>
                <w:rFonts w:ascii="Times New Roman" w:hAnsi="Times New Roman" w:cs="Times New Roman"/>
                <w:sz w:val="18"/>
                <w:szCs w:val="18"/>
              </w:rPr>
            </w:pPr>
            <w:r w:rsidRPr="000A7465">
              <w:rPr>
                <w:rFonts w:ascii="Times New Roman" w:hAnsi="Times New Roman" w:cs="Times New Roman"/>
                <w:b/>
                <w:sz w:val="18"/>
                <w:szCs w:val="18"/>
              </w:rPr>
              <w:t>Views on injury prevention issues in soccer</w:t>
            </w:r>
            <w:r w:rsidRPr="000A7465">
              <w:rPr>
                <w:rFonts w:ascii="Times New Roman" w:hAnsi="Times New Roman" w:cs="Times New Roman"/>
                <w:sz w:val="18"/>
                <w:szCs w:val="18"/>
              </w:rPr>
              <w:t xml:space="preserve">: </w:t>
            </w:r>
          </w:p>
          <w:p w14:paraId="1221DE19" w14:textId="3DDF4531" w:rsidR="001B2625" w:rsidRPr="000A7465" w:rsidRDefault="001B2625" w:rsidP="00546869">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rPr>
              <w:t xml:space="preserve">82.5% of players and 99.1% of coaches expressed an interest in injury prevention </w:t>
            </w:r>
          </w:p>
          <w:p w14:paraId="22713B9A" w14:textId="3FCE9CB7" w:rsidR="001B2625" w:rsidRPr="000A7465" w:rsidRDefault="001B2625" w:rsidP="00ED63FA">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rPr>
              <w:t xml:space="preserve">87.3% of players and 88.5% of coaches believed that injuries are a major problem </w:t>
            </w:r>
          </w:p>
          <w:p w14:paraId="1697B911" w14:textId="77777777" w:rsidR="001B2625" w:rsidRPr="000A7465" w:rsidRDefault="001B2625" w:rsidP="00ED63FA">
            <w:pPr>
              <w:rPr>
                <w:rFonts w:ascii="Times New Roman" w:hAnsi="Times New Roman" w:cs="Times New Roman"/>
                <w:sz w:val="18"/>
                <w:szCs w:val="18"/>
              </w:rPr>
            </w:pPr>
          </w:p>
          <w:p w14:paraId="0F40A528" w14:textId="4CA0B8CF" w:rsidR="001B2625" w:rsidRPr="000A7465" w:rsidRDefault="001B2625" w:rsidP="00ED63FA">
            <w:pPr>
              <w:rPr>
                <w:rFonts w:ascii="Times New Roman" w:hAnsi="Times New Roman" w:cs="Times New Roman"/>
                <w:sz w:val="18"/>
                <w:szCs w:val="18"/>
              </w:rPr>
            </w:pPr>
            <w:r w:rsidRPr="000A7465">
              <w:rPr>
                <w:rFonts w:ascii="Times New Roman" w:hAnsi="Times New Roman" w:cs="Times New Roman"/>
                <w:b/>
                <w:sz w:val="18"/>
                <w:szCs w:val="18"/>
              </w:rPr>
              <w:t xml:space="preserve">Knowledge of the </w:t>
            </w:r>
            <w:r w:rsidR="000F122F" w:rsidRPr="000A7465">
              <w:rPr>
                <w:rFonts w:ascii="Times New Roman" w:hAnsi="Times New Roman" w:cs="Times New Roman"/>
                <w:b/>
                <w:sz w:val="18"/>
                <w:szCs w:val="18"/>
              </w:rPr>
              <w:t>“</w:t>
            </w:r>
            <w:r w:rsidRPr="000A7465">
              <w:rPr>
                <w:rFonts w:ascii="Times New Roman" w:hAnsi="Times New Roman" w:cs="Times New Roman"/>
                <w:b/>
                <w:sz w:val="18"/>
                <w:szCs w:val="18"/>
              </w:rPr>
              <w:t>11+</w:t>
            </w:r>
            <w:r w:rsidR="000F122F" w:rsidRPr="000A7465">
              <w:rPr>
                <w:rFonts w:ascii="Times New Roman" w:hAnsi="Times New Roman" w:cs="Times New Roman"/>
                <w:b/>
                <w:sz w:val="18"/>
                <w:szCs w:val="18"/>
              </w:rPr>
              <w:t>”</w:t>
            </w:r>
          </w:p>
          <w:p w14:paraId="040D49F7" w14:textId="276D9C58" w:rsidR="001B2625" w:rsidRPr="000A7465" w:rsidRDefault="001B2625" w:rsidP="00ED63FA">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rPr>
              <w:t xml:space="preserve">12.6% of players and 42.5% of coaches knew of the </w:t>
            </w:r>
            <w:r w:rsidR="00DE18BE" w:rsidRPr="000A7465">
              <w:rPr>
                <w:rFonts w:ascii="Times New Roman" w:hAnsi="Times New Roman" w:cs="Times New Roman"/>
                <w:sz w:val="18"/>
                <w:szCs w:val="18"/>
              </w:rPr>
              <w:t>“</w:t>
            </w:r>
            <w:r w:rsidRPr="000A7465">
              <w:rPr>
                <w:rFonts w:ascii="Times New Roman" w:hAnsi="Times New Roman" w:cs="Times New Roman"/>
                <w:sz w:val="18"/>
                <w:szCs w:val="18"/>
              </w:rPr>
              <w:t>11+</w:t>
            </w:r>
            <w:r w:rsidR="00DE18BE" w:rsidRPr="000A7465">
              <w:rPr>
                <w:rFonts w:ascii="Times New Roman" w:hAnsi="Times New Roman" w:cs="Times New Roman"/>
                <w:sz w:val="18"/>
                <w:szCs w:val="18"/>
              </w:rPr>
              <w:t>”</w:t>
            </w:r>
            <w:r w:rsidRPr="000A7465">
              <w:rPr>
                <w:rFonts w:ascii="Times New Roman" w:hAnsi="Times New Roman" w:cs="Times New Roman"/>
                <w:sz w:val="18"/>
                <w:szCs w:val="18"/>
              </w:rPr>
              <w:t xml:space="preserve"> IPP. Of those who were aware of the </w:t>
            </w:r>
            <w:r w:rsidR="00DE18BE" w:rsidRPr="000A7465">
              <w:rPr>
                <w:rFonts w:ascii="Times New Roman" w:hAnsi="Times New Roman" w:cs="Times New Roman"/>
                <w:sz w:val="18"/>
                <w:szCs w:val="18"/>
              </w:rPr>
              <w:t>“</w:t>
            </w:r>
            <w:r w:rsidRPr="000A7465">
              <w:rPr>
                <w:rFonts w:ascii="Times New Roman" w:hAnsi="Times New Roman" w:cs="Times New Roman"/>
                <w:sz w:val="18"/>
                <w:szCs w:val="18"/>
              </w:rPr>
              <w:t>11+</w:t>
            </w:r>
            <w:r w:rsidR="00DE18BE" w:rsidRPr="000A7465">
              <w:rPr>
                <w:rFonts w:ascii="Times New Roman" w:hAnsi="Times New Roman" w:cs="Times New Roman"/>
                <w:sz w:val="18"/>
                <w:szCs w:val="18"/>
              </w:rPr>
              <w:t>”</w:t>
            </w:r>
            <w:r w:rsidRPr="000A7465">
              <w:rPr>
                <w:rFonts w:ascii="Times New Roman" w:hAnsi="Times New Roman" w:cs="Times New Roman"/>
                <w:sz w:val="18"/>
                <w:szCs w:val="18"/>
              </w:rPr>
              <w:t xml:space="preserve"> program, 43.6% of players and 48.5% of coaches reported frequent use of the </w:t>
            </w:r>
            <w:r w:rsidR="00DE18BE" w:rsidRPr="000A7465">
              <w:rPr>
                <w:rFonts w:ascii="Times New Roman" w:hAnsi="Times New Roman" w:cs="Times New Roman"/>
                <w:sz w:val="18"/>
                <w:szCs w:val="18"/>
              </w:rPr>
              <w:t>“</w:t>
            </w:r>
            <w:r w:rsidRPr="000A7465">
              <w:rPr>
                <w:rFonts w:ascii="Times New Roman" w:hAnsi="Times New Roman" w:cs="Times New Roman"/>
                <w:sz w:val="18"/>
                <w:szCs w:val="18"/>
              </w:rPr>
              <w:t>11+</w:t>
            </w:r>
            <w:r w:rsidR="00DE18BE" w:rsidRPr="000A7465">
              <w:rPr>
                <w:rFonts w:ascii="Times New Roman" w:hAnsi="Times New Roman" w:cs="Times New Roman"/>
                <w:sz w:val="18"/>
                <w:szCs w:val="18"/>
              </w:rPr>
              <w:t>”</w:t>
            </w:r>
          </w:p>
          <w:p w14:paraId="30A790A3" w14:textId="34EAB397" w:rsidR="001B2625" w:rsidRPr="000A7465" w:rsidRDefault="001B2625" w:rsidP="00C744B2">
            <w:pPr>
              <w:ind w:left="72"/>
              <w:rPr>
                <w:rFonts w:ascii="Times New Roman" w:hAnsi="Times New Roman" w:cs="Times New Roman"/>
                <w:sz w:val="18"/>
                <w:szCs w:val="18"/>
              </w:rPr>
            </w:pPr>
          </w:p>
        </w:tc>
        <w:tc>
          <w:tcPr>
            <w:tcW w:w="3495" w:type="dxa"/>
          </w:tcPr>
          <w:p w14:paraId="4712F1A8" w14:textId="22D37CB0" w:rsidR="001B2625" w:rsidRPr="000A7465" w:rsidRDefault="001B2625" w:rsidP="00A82EC1">
            <w:pPr>
              <w:rPr>
                <w:rFonts w:ascii="Times New Roman" w:hAnsi="Times New Roman" w:cs="Times New Roman"/>
                <w:sz w:val="18"/>
                <w:szCs w:val="18"/>
              </w:rPr>
            </w:pPr>
            <w:r w:rsidRPr="000A7465">
              <w:rPr>
                <w:rFonts w:ascii="Times New Roman" w:hAnsi="Times New Roman" w:cs="Times New Roman"/>
                <w:b/>
                <w:sz w:val="18"/>
                <w:szCs w:val="18"/>
              </w:rPr>
              <w:t>Conclusions</w:t>
            </w:r>
            <w:r w:rsidRPr="000A7465">
              <w:rPr>
                <w:rFonts w:ascii="Times New Roman" w:hAnsi="Times New Roman" w:cs="Times New Roman"/>
                <w:sz w:val="18"/>
                <w:szCs w:val="18"/>
              </w:rPr>
              <w:t xml:space="preserve">: Players and coaches are interested in injury prevention. There is limited transfer of IPP knowledge, specifically the </w:t>
            </w:r>
            <w:r w:rsidR="00DE18BE" w:rsidRPr="000A7465">
              <w:rPr>
                <w:rFonts w:ascii="Times New Roman" w:hAnsi="Times New Roman" w:cs="Times New Roman"/>
                <w:sz w:val="18"/>
                <w:szCs w:val="18"/>
              </w:rPr>
              <w:t>“</w:t>
            </w:r>
            <w:r w:rsidRPr="000A7465">
              <w:rPr>
                <w:rFonts w:ascii="Times New Roman" w:hAnsi="Times New Roman" w:cs="Times New Roman"/>
                <w:sz w:val="18"/>
                <w:szCs w:val="18"/>
              </w:rPr>
              <w:t>11+</w:t>
            </w:r>
            <w:r w:rsidR="00DE18BE" w:rsidRPr="000A7465">
              <w:rPr>
                <w:rFonts w:ascii="Times New Roman" w:hAnsi="Times New Roman" w:cs="Times New Roman"/>
                <w:sz w:val="18"/>
                <w:szCs w:val="18"/>
              </w:rPr>
              <w:t>”</w:t>
            </w:r>
            <w:r w:rsidRPr="000A7465">
              <w:rPr>
                <w:rFonts w:ascii="Times New Roman" w:hAnsi="Times New Roman" w:cs="Times New Roman"/>
                <w:sz w:val="18"/>
                <w:szCs w:val="18"/>
              </w:rPr>
              <w:t xml:space="preserve"> into practice. </w:t>
            </w:r>
          </w:p>
          <w:p w14:paraId="3CCD8363" w14:textId="77777777" w:rsidR="001B2625" w:rsidRPr="000A7465" w:rsidRDefault="001B2625" w:rsidP="00A82EC1">
            <w:pPr>
              <w:rPr>
                <w:rFonts w:ascii="Times New Roman" w:hAnsi="Times New Roman" w:cs="Times New Roman"/>
                <w:b/>
                <w:sz w:val="18"/>
                <w:szCs w:val="18"/>
              </w:rPr>
            </w:pPr>
          </w:p>
          <w:p w14:paraId="0DED4832" w14:textId="77777777" w:rsidR="001B2625" w:rsidRPr="000A7465" w:rsidRDefault="001B2625" w:rsidP="00A82EC1">
            <w:pPr>
              <w:rPr>
                <w:rFonts w:ascii="Times New Roman" w:hAnsi="Times New Roman" w:cs="Times New Roman"/>
                <w:sz w:val="18"/>
                <w:szCs w:val="18"/>
              </w:rPr>
            </w:pPr>
            <w:r w:rsidRPr="000A7465">
              <w:rPr>
                <w:rFonts w:ascii="Times New Roman" w:hAnsi="Times New Roman" w:cs="Times New Roman"/>
                <w:b/>
                <w:sz w:val="18"/>
                <w:szCs w:val="18"/>
              </w:rPr>
              <w:t>Limitations</w:t>
            </w:r>
            <w:r w:rsidRPr="000A7465">
              <w:rPr>
                <w:rFonts w:ascii="Times New Roman" w:hAnsi="Times New Roman" w:cs="Times New Roman"/>
                <w:sz w:val="18"/>
                <w:szCs w:val="18"/>
              </w:rPr>
              <w:t>:</w:t>
            </w:r>
          </w:p>
          <w:p w14:paraId="3D11CC99" w14:textId="047E3823" w:rsidR="001B2625" w:rsidRPr="000A7465" w:rsidRDefault="001B2625" w:rsidP="00D7528B">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rPr>
              <w:t xml:space="preserve">High drop-out rate (over 1,000 elite players were eligible) </w:t>
            </w:r>
          </w:p>
          <w:p w14:paraId="793C489D" w14:textId="77777777" w:rsidR="001B2625" w:rsidRPr="000A7465" w:rsidRDefault="001B2625" w:rsidP="00D7528B">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rPr>
              <w:t>Survey has not been validated</w:t>
            </w:r>
          </w:p>
          <w:p w14:paraId="18BAAE31" w14:textId="77777777" w:rsidR="001B2625" w:rsidRPr="000A7465" w:rsidRDefault="001B2625" w:rsidP="00D7528B">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rPr>
              <w:t>Low quality evidence</w:t>
            </w:r>
          </w:p>
          <w:p w14:paraId="27647EB4" w14:textId="537F619D" w:rsidR="001B2625" w:rsidRPr="000A7465" w:rsidRDefault="001B2625" w:rsidP="00A82EC1">
            <w:pPr>
              <w:pStyle w:val="ListParagraph"/>
              <w:numPr>
                <w:ilvl w:val="0"/>
                <w:numId w:val="6"/>
              </w:numPr>
              <w:rPr>
                <w:rFonts w:ascii="Times New Roman" w:hAnsi="Times New Roman" w:cs="Times New Roman"/>
                <w:sz w:val="18"/>
                <w:szCs w:val="18"/>
              </w:rPr>
            </w:pPr>
            <w:r w:rsidRPr="000A7465">
              <w:rPr>
                <w:rFonts w:ascii="Times New Roman" w:hAnsi="Times New Roman" w:cs="Times New Roman"/>
                <w:sz w:val="18"/>
                <w:szCs w:val="18"/>
              </w:rPr>
              <w:t>Homogenous sample, limited external validity</w:t>
            </w:r>
          </w:p>
        </w:tc>
      </w:tr>
    </w:tbl>
    <w:p w14:paraId="14261C7A" w14:textId="742CF9E4" w:rsidR="004551CE" w:rsidRPr="000A7465" w:rsidRDefault="004551CE">
      <w:pPr>
        <w:rPr>
          <w:rFonts w:ascii="Times New Roman" w:hAnsi="Times New Roman" w:cs="Times New Roman"/>
          <w:sz w:val="18"/>
          <w:szCs w:val="18"/>
        </w:rPr>
      </w:pPr>
    </w:p>
    <w:p w14:paraId="08111CE5" w14:textId="77777777" w:rsidR="001B2625" w:rsidRPr="000A7465" w:rsidRDefault="001B2625">
      <w:pPr>
        <w:rPr>
          <w:rFonts w:ascii="Times New Roman" w:hAnsi="Times New Roman" w:cs="Times New Roman"/>
          <w:sz w:val="18"/>
          <w:szCs w:val="18"/>
        </w:rPr>
      </w:pPr>
    </w:p>
    <w:p w14:paraId="138E286E" w14:textId="77777777" w:rsidR="001B2625" w:rsidRPr="000A7465" w:rsidRDefault="001B2625">
      <w:pPr>
        <w:rPr>
          <w:rFonts w:ascii="Times New Roman" w:hAnsi="Times New Roman" w:cs="Times New Roman"/>
          <w:sz w:val="18"/>
          <w:szCs w:val="18"/>
        </w:rPr>
      </w:pPr>
    </w:p>
    <w:p w14:paraId="4FB1B005" w14:textId="77777777" w:rsidR="001B2625" w:rsidRPr="000A7465" w:rsidRDefault="001B2625">
      <w:pPr>
        <w:rPr>
          <w:rFonts w:ascii="Times New Roman" w:hAnsi="Times New Roman" w:cs="Times New Roman"/>
          <w:sz w:val="18"/>
          <w:szCs w:val="18"/>
        </w:rPr>
      </w:pPr>
    </w:p>
    <w:p w14:paraId="6EBA8229" w14:textId="77777777" w:rsidR="001B2625" w:rsidRPr="000A7465" w:rsidRDefault="001B2625">
      <w:pPr>
        <w:rPr>
          <w:rFonts w:ascii="Times New Roman" w:hAnsi="Times New Roman" w:cs="Times New Roman"/>
          <w:sz w:val="18"/>
          <w:szCs w:val="18"/>
        </w:rPr>
      </w:pPr>
    </w:p>
    <w:p w14:paraId="114A5186" w14:textId="042050A4" w:rsidR="00117626" w:rsidRPr="000A7465" w:rsidRDefault="00FD1E6D">
      <w:pPr>
        <w:rPr>
          <w:rFonts w:ascii="Times New Roman" w:hAnsi="Times New Roman" w:cs="Times New Roman"/>
          <w:sz w:val="18"/>
          <w:szCs w:val="18"/>
        </w:rPr>
      </w:pPr>
      <w:r w:rsidRPr="000A7465">
        <w:rPr>
          <w:rFonts w:ascii="Times New Roman" w:hAnsi="Times New Roman" w:cs="Times New Roman"/>
          <w:sz w:val="18"/>
          <w:szCs w:val="18"/>
        </w:rPr>
        <w:t xml:space="preserve">* = indicates statistically significant result </w:t>
      </w:r>
    </w:p>
    <w:p w14:paraId="6B263DC5" w14:textId="351CA255" w:rsidR="00117626" w:rsidRPr="000A7465" w:rsidRDefault="00117626">
      <w:pPr>
        <w:rPr>
          <w:rFonts w:ascii="Times New Roman" w:hAnsi="Times New Roman" w:cs="Times New Roman"/>
          <w:sz w:val="18"/>
          <w:szCs w:val="18"/>
        </w:rPr>
      </w:pPr>
      <w:r w:rsidRPr="000A7465">
        <w:rPr>
          <w:rFonts w:ascii="Times New Roman" w:hAnsi="Times New Roman" w:cs="Times New Roman"/>
          <w:sz w:val="18"/>
          <w:szCs w:val="18"/>
        </w:rPr>
        <w:t xml:space="preserve">LE = lower extremity </w:t>
      </w:r>
    </w:p>
    <w:p w14:paraId="7A16A45A" w14:textId="51AC188A" w:rsidR="00056DEA" w:rsidRPr="000A7465" w:rsidRDefault="00056DEA">
      <w:pPr>
        <w:rPr>
          <w:rFonts w:ascii="Times New Roman" w:hAnsi="Times New Roman" w:cs="Times New Roman"/>
          <w:sz w:val="18"/>
          <w:szCs w:val="18"/>
        </w:rPr>
      </w:pPr>
      <w:r w:rsidRPr="000A7465">
        <w:rPr>
          <w:rFonts w:ascii="Times New Roman" w:hAnsi="Times New Roman" w:cs="Times New Roman"/>
          <w:sz w:val="18"/>
          <w:szCs w:val="18"/>
        </w:rPr>
        <w:t>IPP = injury prevention program</w:t>
      </w:r>
    </w:p>
    <w:p w14:paraId="2C6772A9" w14:textId="17A686D4" w:rsidR="00004166" w:rsidRPr="000A7465" w:rsidRDefault="00004166">
      <w:pPr>
        <w:rPr>
          <w:rFonts w:ascii="Times New Roman" w:hAnsi="Times New Roman" w:cs="Times New Roman"/>
          <w:sz w:val="18"/>
          <w:szCs w:val="18"/>
        </w:rPr>
      </w:pPr>
      <w:r w:rsidRPr="000A7465">
        <w:rPr>
          <w:rFonts w:ascii="Times New Roman" w:hAnsi="Times New Roman" w:cs="Times New Roman"/>
          <w:sz w:val="18"/>
          <w:szCs w:val="18"/>
        </w:rPr>
        <w:t xml:space="preserve">IRR = incidence rate ratio </w:t>
      </w:r>
    </w:p>
    <w:p w14:paraId="36984497" w14:textId="0F32EFDC" w:rsidR="005825FE" w:rsidRPr="000A7465" w:rsidRDefault="005825FE">
      <w:pPr>
        <w:rPr>
          <w:rFonts w:ascii="Times New Roman" w:hAnsi="Times New Roman" w:cs="Times New Roman"/>
          <w:sz w:val="18"/>
          <w:szCs w:val="18"/>
        </w:rPr>
      </w:pPr>
      <w:r w:rsidRPr="000A7465">
        <w:rPr>
          <w:rFonts w:ascii="Times New Roman" w:hAnsi="Times New Roman" w:cs="Times New Roman"/>
          <w:sz w:val="18"/>
          <w:szCs w:val="18"/>
        </w:rPr>
        <w:t>RR = r</w:t>
      </w:r>
      <w:r w:rsidR="00FD1E6D" w:rsidRPr="000A7465">
        <w:rPr>
          <w:rFonts w:ascii="Times New Roman" w:hAnsi="Times New Roman" w:cs="Times New Roman"/>
          <w:sz w:val="18"/>
          <w:szCs w:val="18"/>
        </w:rPr>
        <w:t xml:space="preserve">ate ratio </w:t>
      </w:r>
    </w:p>
    <w:p w14:paraId="0A8C14FF" w14:textId="0894233B" w:rsidR="005825FE" w:rsidRPr="000A7465" w:rsidRDefault="00AC594B">
      <w:pPr>
        <w:rPr>
          <w:rFonts w:ascii="Times New Roman" w:hAnsi="Times New Roman" w:cs="Times New Roman"/>
          <w:sz w:val="18"/>
          <w:szCs w:val="18"/>
        </w:rPr>
      </w:pPr>
      <w:r w:rsidRPr="000A7465">
        <w:rPr>
          <w:rFonts w:ascii="Times New Roman" w:hAnsi="Times New Roman" w:cs="Times New Roman"/>
          <w:sz w:val="18"/>
          <w:szCs w:val="18"/>
        </w:rPr>
        <w:t xml:space="preserve">CI = confidence interval </w:t>
      </w:r>
    </w:p>
    <w:p w14:paraId="503B28AC" w14:textId="3618529F" w:rsidR="00AC594B" w:rsidRPr="000A7465" w:rsidRDefault="00AC594B">
      <w:pPr>
        <w:rPr>
          <w:rFonts w:ascii="Times New Roman" w:hAnsi="Times New Roman" w:cs="Times New Roman"/>
          <w:sz w:val="18"/>
          <w:szCs w:val="18"/>
        </w:rPr>
      </w:pPr>
      <w:r w:rsidRPr="000A7465">
        <w:rPr>
          <w:rFonts w:ascii="Times New Roman" w:hAnsi="Times New Roman" w:cs="Times New Roman"/>
          <w:sz w:val="18"/>
          <w:szCs w:val="18"/>
        </w:rPr>
        <w:t xml:space="preserve">NNT = number needed to treat </w:t>
      </w:r>
    </w:p>
    <w:p w14:paraId="44141BE7" w14:textId="527F4BDA" w:rsidR="00FD1E6D" w:rsidRPr="000A7465" w:rsidRDefault="00FD1E6D">
      <w:pPr>
        <w:rPr>
          <w:rFonts w:ascii="Times New Roman" w:hAnsi="Times New Roman" w:cs="Times New Roman"/>
          <w:sz w:val="18"/>
          <w:szCs w:val="18"/>
        </w:rPr>
      </w:pPr>
      <w:r w:rsidRPr="000A7465">
        <w:rPr>
          <w:rFonts w:ascii="Times New Roman" w:hAnsi="Times New Roman" w:cs="Times New Roman"/>
          <w:sz w:val="18"/>
          <w:szCs w:val="18"/>
        </w:rPr>
        <w:t>SD = standard deviation</w:t>
      </w:r>
    </w:p>
    <w:p w14:paraId="3C93DDB8" w14:textId="77777777" w:rsidR="00477C3E" w:rsidRDefault="00502F90">
      <w:pPr>
        <w:rPr>
          <w:rFonts w:ascii="Times New Roman" w:hAnsi="Times New Roman" w:cs="Times New Roman"/>
          <w:sz w:val="18"/>
          <w:szCs w:val="18"/>
        </w:rPr>
      </w:pPr>
      <w:r w:rsidRPr="000A7465">
        <w:rPr>
          <w:rFonts w:ascii="Times New Roman" w:hAnsi="Times New Roman" w:cs="Times New Roman"/>
          <w:sz w:val="18"/>
          <w:szCs w:val="18"/>
        </w:rPr>
        <w:br w:type="page"/>
      </w:r>
    </w:p>
    <w:p w14:paraId="39FE3669" w14:textId="0FADA234" w:rsidR="00FD1E6D" w:rsidRPr="000A7465" w:rsidRDefault="00502F90">
      <w:pPr>
        <w:rPr>
          <w:rFonts w:ascii="Times New Roman" w:hAnsi="Times New Roman" w:cs="Times New Roman"/>
          <w:sz w:val="18"/>
          <w:szCs w:val="18"/>
        </w:rPr>
      </w:pPr>
      <w:bookmarkStart w:id="0" w:name="_GoBack"/>
      <w:bookmarkEnd w:id="0"/>
      <w:r w:rsidRPr="000A7465">
        <w:rPr>
          <w:rFonts w:ascii="Times New Roman" w:hAnsi="Times New Roman" w:cs="Times New Roman"/>
          <w:sz w:val="18"/>
          <w:szCs w:val="18"/>
        </w:rPr>
        <w:lastRenderedPageBreak/>
        <w:t>Bibliography</w:t>
      </w:r>
    </w:p>
    <w:p w14:paraId="617A49A4" w14:textId="77777777" w:rsidR="00502F90" w:rsidRPr="000A7465" w:rsidRDefault="00502F90">
      <w:pPr>
        <w:widowControl w:val="0"/>
        <w:autoSpaceDE w:val="0"/>
        <w:autoSpaceDN w:val="0"/>
        <w:adjustRightInd w:val="0"/>
        <w:rPr>
          <w:rFonts w:ascii="Times New Roman" w:eastAsia="Times New Roman" w:hAnsi="Times New Roman" w:cs="Times New Roman"/>
          <w:noProof/>
          <w:sz w:val="18"/>
        </w:rPr>
      </w:pPr>
      <w:r w:rsidRPr="000A7465">
        <w:rPr>
          <w:rFonts w:ascii="Times New Roman" w:hAnsi="Times New Roman" w:cs="Times New Roman"/>
          <w:sz w:val="18"/>
          <w:szCs w:val="18"/>
        </w:rPr>
        <w:fldChar w:fldCharType="begin"/>
      </w:r>
      <w:r w:rsidRPr="000A7465">
        <w:rPr>
          <w:rFonts w:ascii="Times New Roman" w:hAnsi="Times New Roman" w:cs="Times New Roman"/>
          <w:sz w:val="18"/>
          <w:szCs w:val="18"/>
        </w:rPr>
        <w:instrText>ADDIN F1000_CSL_BIBLIOGRAPHY</w:instrText>
      </w:r>
      <w:r w:rsidRPr="000A7465">
        <w:rPr>
          <w:rFonts w:ascii="Times New Roman" w:hAnsi="Times New Roman" w:cs="Times New Roman"/>
          <w:sz w:val="18"/>
          <w:szCs w:val="18"/>
        </w:rPr>
        <w:fldChar w:fldCharType="separate"/>
      </w:r>
    </w:p>
    <w:p w14:paraId="2B67FAA9" w14:textId="77777777" w:rsidR="00502F90" w:rsidRPr="000A7465" w:rsidRDefault="00502F90">
      <w:pPr>
        <w:widowControl w:val="0"/>
        <w:autoSpaceDE w:val="0"/>
        <w:autoSpaceDN w:val="0"/>
        <w:adjustRightInd w:val="0"/>
        <w:ind w:left="560" w:hanging="560"/>
        <w:rPr>
          <w:rFonts w:ascii="Times New Roman" w:eastAsia="Times New Roman" w:hAnsi="Times New Roman" w:cs="Times New Roman"/>
          <w:noProof/>
          <w:sz w:val="18"/>
        </w:rPr>
      </w:pPr>
      <w:r w:rsidRPr="000A7465">
        <w:rPr>
          <w:rFonts w:ascii="Times New Roman" w:eastAsia="Times New Roman" w:hAnsi="Times New Roman" w:cs="Times New Roman"/>
          <w:noProof/>
          <w:sz w:val="18"/>
        </w:rPr>
        <w:t xml:space="preserve">1. </w:t>
      </w:r>
      <w:r w:rsidRPr="000A7465">
        <w:rPr>
          <w:rFonts w:ascii="Times New Roman" w:eastAsia="Times New Roman" w:hAnsi="Times New Roman" w:cs="Times New Roman"/>
          <w:noProof/>
          <w:sz w:val="18"/>
        </w:rPr>
        <w:tab/>
        <w:t xml:space="preserve">Soligard T, Myklebust G, Steffen K, et al. Comprehensive warm-up programme to prevent injuries in young female footballers: cluster randomised controlled trial. </w:t>
      </w:r>
      <w:r w:rsidRPr="000A7465">
        <w:rPr>
          <w:rFonts w:ascii="Times New Roman" w:eastAsia="Times New Roman" w:hAnsi="Times New Roman" w:cs="Times New Roman"/>
          <w:i/>
          <w:iCs/>
          <w:noProof/>
          <w:sz w:val="18"/>
        </w:rPr>
        <w:t>BMJ</w:t>
      </w:r>
      <w:r w:rsidRPr="000A7465">
        <w:rPr>
          <w:rFonts w:ascii="Times New Roman" w:eastAsia="Times New Roman" w:hAnsi="Times New Roman" w:cs="Times New Roman"/>
          <w:noProof/>
          <w:sz w:val="18"/>
        </w:rPr>
        <w:t xml:space="preserve"> 2008;337:a2469. doi:10.1136/bmj.a2469.</w:t>
      </w:r>
      <w:r w:rsidRPr="000A7465">
        <w:rPr>
          <w:rFonts w:ascii="Times New Roman" w:eastAsia="Times New Roman" w:hAnsi="Times New Roman" w:cs="Times New Roman"/>
          <w:noProof/>
          <w:sz w:val="18"/>
        </w:rPr>
        <w:br/>
      </w:r>
    </w:p>
    <w:p w14:paraId="4F07F651" w14:textId="77777777" w:rsidR="00502F90" w:rsidRPr="000A7465" w:rsidRDefault="00502F90">
      <w:pPr>
        <w:widowControl w:val="0"/>
        <w:autoSpaceDE w:val="0"/>
        <w:autoSpaceDN w:val="0"/>
        <w:adjustRightInd w:val="0"/>
        <w:ind w:left="560" w:hanging="560"/>
        <w:rPr>
          <w:rFonts w:ascii="Times New Roman" w:eastAsia="Times New Roman" w:hAnsi="Times New Roman" w:cs="Times New Roman"/>
          <w:noProof/>
          <w:sz w:val="18"/>
        </w:rPr>
      </w:pPr>
      <w:r w:rsidRPr="000A7465">
        <w:rPr>
          <w:rFonts w:ascii="Times New Roman" w:eastAsia="Times New Roman" w:hAnsi="Times New Roman" w:cs="Times New Roman"/>
          <w:noProof/>
          <w:sz w:val="18"/>
        </w:rPr>
        <w:t xml:space="preserve">2. </w:t>
      </w:r>
      <w:r w:rsidRPr="000A7465">
        <w:rPr>
          <w:rFonts w:ascii="Times New Roman" w:eastAsia="Times New Roman" w:hAnsi="Times New Roman" w:cs="Times New Roman"/>
          <w:noProof/>
          <w:sz w:val="18"/>
        </w:rPr>
        <w:tab/>
        <w:t xml:space="preserve">Attar WSA Al, Soomro N, Pappas E, Sinclair PJ, Sanders RH. How Effective are F-MARC Injury Prevention Programs for Soccer Players? A Systematic Review and Meta-Analysis. </w:t>
      </w:r>
      <w:r w:rsidRPr="000A7465">
        <w:rPr>
          <w:rFonts w:ascii="Times New Roman" w:eastAsia="Times New Roman" w:hAnsi="Times New Roman" w:cs="Times New Roman"/>
          <w:i/>
          <w:iCs/>
          <w:noProof/>
          <w:sz w:val="18"/>
        </w:rPr>
        <w:t>Sports Med</w:t>
      </w:r>
      <w:r w:rsidRPr="000A7465">
        <w:rPr>
          <w:rFonts w:ascii="Times New Roman" w:eastAsia="Times New Roman" w:hAnsi="Times New Roman" w:cs="Times New Roman"/>
          <w:noProof/>
          <w:sz w:val="18"/>
        </w:rPr>
        <w:t xml:space="preserve"> 2016;46(2):205-217. doi:10.1007/s40279-015-0404-x.</w:t>
      </w:r>
      <w:r w:rsidRPr="000A7465">
        <w:rPr>
          <w:rFonts w:ascii="Times New Roman" w:eastAsia="Times New Roman" w:hAnsi="Times New Roman" w:cs="Times New Roman"/>
          <w:noProof/>
          <w:sz w:val="18"/>
        </w:rPr>
        <w:br/>
      </w:r>
    </w:p>
    <w:p w14:paraId="7F8161DB" w14:textId="77777777" w:rsidR="00502F90" w:rsidRPr="000A7465" w:rsidRDefault="00502F90">
      <w:pPr>
        <w:widowControl w:val="0"/>
        <w:autoSpaceDE w:val="0"/>
        <w:autoSpaceDN w:val="0"/>
        <w:adjustRightInd w:val="0"/>
        <w:ind w:left="560" w:hanging="560"/>
        <w:rPr>
          <w:rFonts w:ascii="Times New Roman" w:eastAsia="Times New Roman" w:hAnsi="Times New Roman" w:cs="Times New Roman"/>
          <w:noProof/>
          <w:sz w:val="18"/>
        </w:rPr>
      </w:pPr>
      <w:r w:rsidRPr="000A7465">
        <w:rPr>
          <w:rFonts w:ascii="Times New Roman" w:eastAsia="Times New Roman" w:hAnsi="Times New Roman" w:cs="Times New Roman"/>
          <w:noProof/>
          <w:sz w:val="18"/>
        </w:rPr>
        <w:t xml:space="preserve">3. </w:t>
      </w:r>
      <w:r w:rsidRPr="000A7465">
        <w:rPr>
          <w:rFonts w:ascii="Times New Roman" w:eastAsia="Times New Roman" w:hAnsi="Times New Roman" w:cs="Times New Roman"/>
          <w:noProof/>
          <w:sz w:val="18"/>
        </w:rPr>
        <w:tab/>
        <w:t xml:space="preserve">Thorborg K, Krommes KK, Esteve E, Clausen MB, Bartels EM, Rathleff MS. Effect of specific exercise-based football injury prevention programmes on the overall injury rate in football: a systematic review and meta-analysis of the FIFA 11 and 11+ programmes. </w:t>
      </w:r>
      <w:r w:rsidRPr="000A7465">
        <w:rPr>
          <w:rFonts w:ascii="Times New Roman" w:eastAsia="Times New Roman" w:hAnsi="Times New Roman" w:cs="Times New Roman"/>
          <w:i/>
          <w:iCs/>
          <w:noProof/>
          <w:sz w:val="18"/>
        </w:rPr>
        <w:t>Br J Sports Med</w:t>
      </w:r>
      <w:r w:rsidRPr="000A7465">
        <w:rPr>
          <w:rFonts w:ascii="Times New Roman" w:eastAsia="Times New Roman" w:hAnsi="Times New Roman" w:cs="Times New Roman"/>
          <w:noProof/>
          <w:sz w:val="18"/>
        </w:rPr>
        <w:t xml:space="preserve"> 2017;51(7):562-571. doi:10.1136/bjsports-2016-097066.</w:t>
      </w:r>
      <w:r w:rsidRPr="000A7465">
        <w:rPr>
          <w:rFonts w:ascii="Times New Roman" w:eastAsia="Times New Roman" w:hAnsi="Times New Roman" w:cs="Times New Roman"/>
          <w:noProof/>
          <w:sz w:val="18"/>
        </w:rPr>
        <w:br/>
      </w:r>
    </w:p>
    <w:p w14:paraId="219405FF" w14:textId="77777777" w:rsidR="00502F90" w:rsidRPr="000A7465" w:rsidRDefault="00502F90">
      <w:pPr>
        <w:widowControl w:val="0"/>
        <w:autoSpaceDE w:val="0"/>
        <w:autoSpaceDN w:val="0"/>
        <w:adjustRightInd w:val="0"/>
        <w:ind w:left="560" w:hanging="560"/>
        <w:rPr>
          <w:rFonts w:ascii="Times New Roman" w:eastAsia="Times New Roman" w:hAnsi="Times New Roman" w:cs="Times New Roman"/>
          <w:noProof/>
          <w:sz w:val="18"/>
        </w:rPr>
      </w:pPr>
      <w:r w:rsidRPr="000A7465">
        <w:rPr>
          <w:rFonts w:ascii="Times New Roman" w:eastAsia="Times New Roman" w:hAnsi="Times New Roman" w:cs="Times New Roman"/>
          <w:noProof/>
          <w:sz w:val="18"/>
        </w:rPr>
        <w:t xml:space="preserve">4. </w:t>
      </w:r>
      <w:r w:rsidRPr="000A7465">
        <w:rPr>
          <w:rFonts w:ascii="Times New Roman" w:eastAsia="Times New Roman" w:hAnsi="Times New Roman" w:cs="Times New Roman"/>
          <w:noProof/>
          <w:sz w:val="18"/>
        </w:rPr>
        <w:tab/>
        <w:t xml:space="preserve">Sadigursky D, Braid JA, De Lira DNL, Machado BAB, Carneiro RJF, Colavolpe PO. The FIFA 11+ injury prevention program for soccer players: a systematic review. </w:t>
      </w:r>
      <w:r w:rsidRPr="000A7465">
        <w:rPr>
          <w:rFonts w:ascii="Times New Roman" w:eastAsia="Times New Roman" w:hAnsi="Times New Roman" w:cs="Times New Roman"/>
          <w:i/>
          <w:iCs/>
          <w:noProof/>
          <w:sz w:val="18"/>
        </w:rPr>
        <w:t>BMC Sports Sci. Med. Rehabil.</w:t>
      </w:r>
      <w:r w:rsidRPr="000A7465">
        <w:rPr>
          <w:rFonts w:ascii="Times New Roman" w:eastAsia="Times New Roman" w:hAnsi="Times New Roman" w:cs="Times New Roman"/>
          <w:noProof/>
          <w:sz w:val="18"/>
        </w:rPr>
        <w:t xml:space="preserve"> 2017;9:18. doi:10.1186/s13102-017-0083-z.</w:t>
      </w:r>
      <w:r w:rsidRPr="000A7465">
        <w:rPr>
          <w:rFonts w:ascii="Times New Roman" w:eastAsia="Times New Roman" w:hAnsi="Times New Roman" w:cs="Times New Roman"/>
          <w:noProof/>
          <w:sz w:val="18"/>
        </w:rPr>
        <w:br/>
      </w:r>
    </w:p>
    <w:p w14:paraId="46B6CFCB" w14:textId="77777777" w:rsidR="00502F90" w:rsidRPr="000A7465" w:rsidRDefault="00502F90">
      <w:pPr>
        <w:widowControl w:val="0"/>
        <w:autoSpaceDE w:val="0"/>
        <w:autoSpaceDN w:val="0"/>
        <w:adjustRightInd w:val="0"/>
        <w:ind w:left="560" w:hanging="560"/>
        <w:rPr>
          <w:rFonts w:ascii="Times New Roman" w:eastAsia="Times New Roman" w:hAnsi="Times New Roman" w:cs="Times New Roman"/>
          <w:noProof/>
          <w:sz w:val="18"/>
        </w:rPr>
      </w:pPr>
      <w:r w:rsidRPr="000A7465">
        <w:rPr>
          <w:rFonts w:ascii="Times New Roman" w:eastAsia="Times New Roman" w:hAnsi="Times New Roman" w:cs="Times New Roman"/>
          <w:noProof/>
          <w:sz w:val="18"/>
        </w:rPr>
        <w:t xml:space="preserve">5. </w:t>
      </w:r>
      <w:r w:rsidRPr="000A7465">
        <w:rPr>
          <w:rFonts w:ascii="Times New Roman" w:eastAsia="Times New Roman" w:hAnsi="Times New Roman" w:cs="Times New Roman"/>
          <w:noProof/>
          <w:sz w:val="18"/>
        </w:rPr>
        <w:tab/>
        <w:t xml:space="preserve">Silvers-Granelli H, Mandelbaum B, Adeniji O, et al. Efficacy of the FIFA 11+ injury prevention program in the collegiate male soccer player. </w:t>
      </w:r>
      <w:r w:rsidRPr="000A7465">
        <w:rPr>
          <w:rFonts w:ascii="Times New Roman" w:eastAsia="Times New Roman" w:hAnsi="Times New Roman" w:cs="Times New Roman"/>
          <w:i/>
          <w:iCs/>
          <w:noProof/>
          <w:sz w:val="18"/>
        </w:rPr>
        <w:t>Am J Sports Med</w:t>
      </w:r>
      <w:r w:rsidRPr="000A7465">
        <w:rPr>
          <w:rFonts w:ascii="Times New Roman" w:eastAsia="Times New Roman" w:hAnsi="Times New Roman" w:cs="Times New Roman"/>
          <w:noProof/>
          <w:sz w:val="18"/>
        </w:rPr>
        <w:t xml:space="preserve"> 2015;43(11):2628-2637. doi:10.1177/0363546515602009.</w:t>
      </w:r>
      <w:r w:rsidRPr="000A7465">
        <w:rPr>
          <w:rFonts w:ascii="Times New Roman" w:eastAsia="Times New Roman" w:hAnsi="Times New Roman" w:cs="Times New Roman"/>
          <w:noProof/>
          <w:sz w:val="18"/>
        </w:rPr>
        <w:br/>
      </w:r>
    </w:p>
    <w:p w14:paraId="6E4E7583" w14:textId="77777777" w:rsidR="00502F90" w:rsidRPr="000A7465" w:rsidRDefault="00502F90">
      <w:pPr>
        <w:widowControl w:val="0"/>
        <w:autoSpaceDE w:val="0"/>
        <w:autoSpaceDN w:val="0"/>
        <w:adjustRightInd w:val="0"/>
        <w:ind w:left="560" w:hanging="560"/>
        <w:rPr>
          <w:rFonts w:ascii="Times New Roman" w:eastAsia="Times New Roman" w:hAnsi="Times New Roman" w:cs="Times New Roman"/>
          <w:noProof/>
          <w:sz w:val="18"/>
        </w:rPr>
      </w:pPr>
      <w:r w:rsidRPr="000A7465">
        <w:rPr>
          <w:rFonts w:ascii="Times New Roman" w:eastAsia="Times New Roman" w:hAnsi="Times New Roman" w:cs="Times New Roman"/>
          <w:noProof/>
          <w:sz w:val="18"/>
        </w:rPr>
        <w:t xml:space="preserve">6. </w:t>
      </w:r>
      <w:r w:rsidRPr="000A7465">
        <w:rPr>
          <w:rFonts w:ascii="Times New Roman" w:eastAsia="Times New Roman" w:hAnsi="Times New Roman" w:cs="Times New Roman"/>
          <w:noProof/>
          <w:sz w:val="18"/>
        </w:rPr>
        <w:tab/>
        <w:t xml:space="preserve">Steffen K, Emery CA, Romiti M, et al. High adherence to a neuromuscular injury prevention programme (FIFA 11+) improves functional balance and reduces injury risk in Canadian youth female football players: a cluster randomised trial. </w:t>
      </w:r>
      <w:r w:rsidRPr="000A7465">
        <w:rPr>
          <w:rFonts w:ascii="Times New Roman" w:eastAsia="Times New Roman" w:hAnsi="Times New Roman" w:cs="Times New Roman"/>
          <w:i/>
          <w:iCs/>
          <w:noProof/>
          <w:sz w:val="18"/>
        </w:rPr>
        <w:t>Br J Sports Med</w:t>
      </w:r>
      <w:r w:rsidRPr="000A7465">
        <w:rPr>
          <w:rFonts w:ascii="Times New Roman" w:eastAsia="Times New Roman" w:hAnsi="Times New Roman" w:cs="Times New Roman"/>
          <w:noProof/>
          <w:sz w:val="18"/>
        </w:rPr>
        <w:t xml:space="preserve"> 2013;47(12):794-802. doi:10.1136/bjsports-2012-091886.</w:t>
      </w:r>
      <w:r w:rsidRPr="000A7465">
        <w:rPr>
          <w:rFonts w:ascii="Times New Roman" w:eastAsia="Times New Roman" w:hAnsi="Times New Roman" w:cs="Times New Roman"/>
          <w:noProof/>
          <w:sz w:val="18"/>
        </w:rPr>
        <w:br/>
      </w:r>
    </w:p>
    <w:p w14:paraId="52FF0977" w14:textId="77777777" w:rsidR="00502F90" w:rsidRPr="000A7465" w:rsidRDefault="00502F90">
      <w:pPr>
        <w:widowControl w:val="0"/>
        <w:autoSpaceDE w:val="0"/>
        <w:autoSpaceDN w:val="0"/>
        <w:adjustRightInd w:val="0"/>
        <w:ind w:left="560" w:hanging="560"/>
        <w:rPr>
          <w:rFonts w:ascii="Times New Roman" w:eastAsia="Times New Roman" w:hAnsi="Times New Roman" w:cs="Times New Roman"/>
          <w:noProof/>
          <w:sz w:val="18"/>
        </w:rPr>
      </w:pPr>
      <w:r w:rsidRPr="000A7465">
        <w:rPr>
          <w:rFonts w:ascii="Times New Roman" w:eastAsia="Times New Roman" w:hAnsi="Times New Roman" w:cs="Times New Roman"/>
          <w:noProof/>
          <w:sz w:val="18"/>
        </w:rPr>
        <w:t xml:space="preserve">7. </w:t>
      </w:r>
      <w:r w:rsidRPr="000A7465">
        <w:rPr>
          <w:rFonts w:ascii="Times New Roman" w:eastAsia="Times New Roman" w:hAnsi="Times New Roman" w:cs="Times New Roman"/>
          <w:noProof/>
          <w:sz w:val="18"/>
        </w:rPr>
        <w:tab/>
        <w:t xml:space="preserve">Silvers-Granelli HJ, Bizzini M, Arundale A, Mandelbaum BR, Snyder-Mackler L. Higher compliance to a neuromuscular injury prevention program improves overall injury rate in male football players. </w:t>
      </w:r>
      <w:r w:rsidRPr="000A7465">
        <w:rPr>
          <w:rFonts w:ascii="Times New Roman" w:eastAsia="Times New Roman" w:hAnsi="Times New Roman" w:cs="Times New Roman"/>
          <w:i/>
          <w:iCs/>
          <w:noProof/>
          <w:sz w:val="18"/>
        </w:rPr>
        <w:t>Knee Surg Sports Traumatol Arthrosc</w:t>
      </w:r>
      <w:r w:rsidRPr="000A7465">
        <w:rPr>
          <w:rFonts w:ascii="Times New Roman" w:eastAsia="Times New Roman" w:hAnsi="Times New Roman" w:cs="Times New Roman"/>
          <w:noProof/>
          <w:sz w:val="18"/>
        </w:rPr>
        <w:t xml:space="preserve"> 2018;26(7):1975-1983. doi:10.1007/s00167-018-4895-5.</w:t>
      </w:r>
      <w:r w:rsidRPr="000A7465">
        <w:rPr>
          <w:rFonts w:ascii="Times New Roman" w:eastAsia="Times New Roman" w:hAnsi="Times New Roman" w:cs="Times New Roman"/>
          <w:noProof/>
          <w:sz w:val="18"/>
        </w:rPr>
        <w:br/>
      </w:r>
    </w:p>
    <w:p w14:paraId="1D1B0335" w14:textId="77777777" w:rsidR="00502F90" w:rsidRPr="000A7465" w:rsidRDefault="00502F90">
      <w:pPr>
        <w:widowControl w:val="0"/>
        <w:autoSpaceDE w:val="0"/>
        <w:autoSpaceDN w:val="0"/>
        <w:adjustRightInd w:val="0"/>
        <w:ind w:left="560" w:hanging="560"/>
        <w:rPr>
          <w:rFonts w:ascii="Times New Roman" w:eastAsia="Times New Roman" w:hAnsi="Times New Roman" w:cs="Times New Roman"/>
          <w:noProof/>
          <w:sz w:val="18"/>
        </w:rPr>
      </w:pPr>
      <w:r w:rsidRPr="000A7465">
        <w:rPr>
          <w:rFonts w:ascii="Times New Roman" w:eastAsia="Times New Roman" w:hAnsi="Times New Roman" w:cs="Times New Roman"/>
          <w:noProof/>
          <w:sz w:val="18"/>
        </w:rPr>
        <w:t xml:space="preserve">8. </w:t>
      </w:r>
      <w:r w:rsidRPr="000A7465">
        <w:rPr>
          <w:rFonts w:ascii="Times New Roman" w:eastAsia="Times New Roman" w:hAnsi="Times New Roman" w:cs="Times New Roman"/>
          <w:noProof/>
          <w:sz w:val="18"/>
        </w:rPr>
        <w:tab/>
        <w:t xml:space="preserve">Soligard T, Nilstad A, Steffen K, et al. Compliance with a comprehensive warm-up programme to prevent injuries in youth football. </w:t>
      </w:r>
      <w:r w:rsidRPr="000A7465">
        <w:rPr>
          <w:rFonts w:ascii="Times New Roman" w:eastAsia="Times New Roman" w:hAnsi="Times New Roman" w:cs="Times New Roman"/>
          <w:i/>
          <w:iCs/>
          <w:noProof/>
          <w:sz w:val="18"/>
        </w:rPr>
        <w:t>Br J Sports Med</w:t>
      </w:r>
      <w:r w:rsidRPr="000A7465">
        <w:rPr>
          <w:rFonts w:ascii="Times New Roman" w:eastAsia="Times New Roman" w:hAnsi="Times New Roman" w:cs="Times New Roman"/>
          <w:noProof/>
          <w:sz w:val="18"/>
        </w:rPr>
        <w:t xml:space="preserve"> 2010;44(11):787-793. doi:10.1136/bjsm.2009.070672.</w:t>
      </w:r>
      <w:r w:rsidRPr="000A7465">
        <w:rPr>
          <w:rFonts w:ascii="Times New Roman" w:eastAsia="Times New Roman" w:hAnsi="Times New Roman" w:cs="Times New Roman"/>
          <w:noProof/>
          <w:sz w:val="18"/>
        </w:rPr>
        <w:br/>
      </w:r>
    </w:p>
    <w:p w14:paraId="3056CE17" w14:textId="77777777" w:rsidR="00502F90" w:rsidRPr="000A7465" w:rsidRDefault="00502F90">
      <w:pPr>
        <w:widowControl w:val="0"/>
        <w:autoSpaceDE w:val="0"/>
        <w:autoSpaceDN w:val="0"/>
        <w:adjustRightInd w:val="0"/>
        <w:ind w:left="560" w:hanging="560"/>
        <w:rPr>
          <w:rFonts w:ascii="Times New Roman" w:eastAsia="Times New Roman" w:hAnsi="Times New Roman" w:cs="Times New Roman"/>
          <w:noProof/>
          <w:sz w:val="18"/>
        </w:rPr>
      </w:pPr>
      <w:r w:rsidRPr="000A7465">
        <w:rPr>
          <w:rFonts w:ascii="Times New Roman" w:eastAsia="Times New Roman" w:hAnsi="Times New Roman" w:cs="Times New Roman"/>
          <w:noProof/>
          <w:sz w:val="18"/>
        </w:rPr>
        <w:t xml:space="preserve">9. </w:t>
      </w:r>
      <w:r w:rsidRPr="000A7465">
        <w:rPr>
          <w:rFonts w:ascii="Times New Roman" w:eastAsia="Times New Roman" w:hAnsi="Times New Roman" w:cs="Times New Roman"/>
          <w:noProof/>
          <w:sz w:val="18"/>
        </w:rPr>
        <w:tab/>
        <w:t xml:space="preserve">Steffen K, Meeuwisse WH, Romiti M, et al. Evaluation of how different implementation strategies of an injury prevention programme (FIFA 11+) impact team adherence and injury risk in Canadian female youth football players: a cluster-randomised trial. </w:t>
      </w:r>
      <w:r w:rsidRPr="000A7465">
        <w:rPr>
          <w:rFonts w:ascii="Times New Roman" w:eastAsia="Times New Roman" w:hAnsi="Times New Roman" w:cs="Times New Roman"/>
          <w:i/>
          <w:iCs/>
          <w:noProof/>
          <w:sz w:val="18"/>
        </w:rPr>
        <w:t>Br J Sports Med</w:t>
      </w:r>
      <w:r w:rsidRPr="000A7465">
        <w:rPr>
          <w:rFonts w:ascii="Times New Roman" w:eastAsia="Times New Roman" w:hAnsi="Times New Roman" w:cs="Times New Roman"/>
          <w:noProof/>
          <w:sz w:val="18"/>
        </w:rPr>
        <w:t xml:space="preserve"> 2013;47(8):480-487. doi:10.1136/bjsports-2012-091887.</w:t>
      </w:r>
      <w:r w:rsidRPr="000A7465">
        <w:rPr>
          <w:rFonts w:ascii="Times New Roman" w:eastAsia="Times New Roman" w:hAnsi="Times New Roman" w:cs="Times New Roman"/>
          <w:noProof/>
          <w:sz w:val="18"/>
        </w:rPr>
        <w:br/>
      </w:r>
    </w:p>
    <w:p w14:paraId="0D2D06ED" w14:textId="77777777" w:rsidR="00502F90" w:rsidRPr="000A7465" w:rsidRDefault="00502F90">
      <w:pPr>
        <w:widowControl w:val="0"/>
        <w:autoSpaceDE w:val="0"/>
        <w:autoSpaceDN w:val="0"/>
        <w:adjustRightInd w:val="0"/>
        <w:ind w:left="560" w:hanging="560"/>
        <w:rPr>
          <w:rFonts w:ascii="Times New Roman" w:eastAsia="Times New Roman" w:hAnsi="Times New Roman" w:cs="Times New Roman"/>
          <w:noProof/>
          <w:sz w:val="18"/>
        </w:rPr>
      </w:pPr>
      <w:r w:rsidRPr="000A7465">
        <w:rPr>
          <w:rFonts w:ascii="Times New Roman" w:eastAsia="Times New Roman" w:hAnsi="Times New Roman" w:cs="Times New Roman"/>
          <w:noProof/>
          <w:sz w:val="18"/>
        </w:rPr>
        <w:t xml:space="preserve">10. </w:t>
      </w:r>
      <w:r w:rsidRPr="000A7465">
        <w:rPr>
          <w:rFonts w:ascii="Times New Roman" w:eastAsia="Times New Roman" w:hAnsi="Times New Roman" w:cs="Times New Roman"/>
          <w:noProof/>
          <w:sz w:val="18"/>
        </w:rPr>
        <w:tab/>
        <w:t xml:space="preserve">O’Brien J, Finch CF. Injury prevention exercise programmes in professional youth soccer: understanding the perceptions of programme deliverers. </w:t>
      </w:r>
      <w:r w:rsidRPr="000A7465">
        <w:rPr>
          <w:rFonts w:ascii="Times New Roman" w:eastAsia="Times New Roman" w:hAnsi="Times New Roman" w:cs="Times New Roman"/>
          <w:i/>
          <w:iCs/>
          <w:noProof/>
          <w:sz w:val="18"/>
        </w:rPr>
        <w:t>BMJ Open Sport Exerc. Med.</w:t>
      </w:r>
      <w:r w:rsidRPr="000A7465">
        <w:rPr>
          <w:rFonts w:ascii="Times New Roman" w:eastAsia="Times New Roman" w:hAnsi="Times New Roman" w:cs="Times New Roman"/>
          <w:noProof/>
          <w:sz w:val="18"/>
        </w:rPr>
        <w:t xml:space="preserve"> 2016;2(1):e000075. doi:10.1136/bmjsem-2015-000075.</w:t>
      </w:r>
      <w:r w:rsidRPr="000A7465">
        <w:rPr>
          <w:rFonts w:ascii="Times New Roman" w:eastAsia="Times New Roman" w:hAnsi="Times New Roman" w:cs="Times New Roman"/>
          <w:noProof/>
          <w:sz w:val="18"/>
        </w:rPr>
        <w:br/>
      </w:r>
    </w:p>
    <w:p w14:paraId="472D11C3" w14:textId="10B8713F" w:rsidR="005C3BAE" w:rsidRDefault="00502F90" w:rsidP="005C3BAE">
      <w:pPr>
        <w:widowControl w:val="0"/>
        <w:autoSpaceDE w:val="0"/>
        <w:autoSpaceDN w:val="0"/>
        <w:adjustRightInd w:val="0"/>
        <w:ind w:left="560" w:hanging="560"/>
        <w:rPr>
          <w:rFonts w:ascii="Times New Roman" w:eastAsia="Times New Roman" w:hAnsi="Times New Roman" w:cs="Times New Roman"/>
          <w:noProof/>
          <w:sz w:val="18"/>
        </w:rPr>
      </w:pPr>
      <w:r w:rsidRPr="000A7465">
        <w:rPr>
          <w:rFonts w:ascii="Times New Roman" w:eastAsia="Times New Roman" w:hAnsi="Times New Roman" w:cs="Times New Roman"/>
          <w:noProof/>
          <w:sz w:val="18"/>
        </w:rPr>
        <w:t xml:space="preserve">11. </w:t>
      </w:r>
      <w:r w:rsidRPr="000A7465">
        <w:rPr>
          <w:rFonts w:ascii="Times New Roman" w:eastAsia="Times New Roman" w:hAnsi="Times New Roman" w:cs="Times New Roman"/>
          <w:noProof/>
          <w:sz w:val="18"/>
        </w:rPr>
        <w:tab/>
        <w:t xml:space="preserve">Loose O, Achenbach L, Fellner B, et al. Injury prevention and return to play strategies in elite football: no consent between players and team coaches. </w:t>
      </w:r>
      <w:r w:rsidRPr="000A7465">
        <w:rPr>
          <w:rFonts w:ascii="Times New Roman" w:eastAsia="Times New Roman" w:hAnsi="Times New Roman" w:cs="Times New Roman"/>
          <w:i/>
          <w:iCs/>
          <w:noProof/>
          <w:sz w:val="18"/>
        </w:rPr>
        <w:t>Arch Orthop Trauma Surg</w:t>
      </w:r>
      <w:r w:rsidRPr="000A7465">
        <w:rPr>
          <w:rFonts w:ascii="Times New Roman" w:eastAsia="Times New Roman" w:hAnsi="Times New Roman" w:cs="Times New Roman"/>
          <w:noProof/>
          <w:sz w:val="18"/>
        </w:rPr>
        <w:t xml:space="preserve"> 2018;138(7):985-992.</w:t>
      </w:r>
      <w:r w:rsidR="005C3BAE">
        <w:rPr>
          <w:rFonts w:ascii="Times New Roman" w:eastAsia="Times New Roman" w:hAnsi="Times New Roman" w:cs="Times New Roman"/>
          <w:noProof/>
          <w:sz w:val="18"/>
        </w:rPr>
        <w:t xml:space="preserve"> doi:10.1007/s00402-018-2937-6.</w:t>
      </w:r>
    </w:p>
    <w:p w14:paraId="270F309F" w14:textId="77777777" w:rsidR="005C3BAE" w:rsidRPr="000A7465" w:rsidRDefault="005C3BAE">
      <w:pPr>
        <w:widowControl w:val="0"/>
        <w:autoSpaceDE w:val="0"/>
        <w:autoSpaceDN w:val="0"/>
        <w:adjustRightInd w:val="0"/>
        <w:ind w:left="560" w:hanging="560"/>
        <w:rPr>
          <w:rFonts w:ascii="Times New Roman" w:eastAsia="Times New Roman" w:hAnsi="Times New Roman" w:cs="Times New Roman"/>
          <w:noProof/>
          <w:sz w:val="18"/>
        </w:rPr>
      </w:pPr>
    </w:p>
    <w:p w14:paraId="31B2BFEE" w14:textId="77777777" w:rsidR="00502F90" w:rsidRPr="000A7465" w:rsidRDefault="00502F90">
      <w:pPr>
        <w:widowControl w:val="0"/>
        <w:autoSpaceDE w:val="0"/>
        <w:autoSpaceDN w:val="0"/>
        <w:adjustRightInd w:val="0"/>
        <w:ind w:left="560" w:hanging="560"/>
        <w:rPr>
          <w:rFonts w:ascii="Times New Roman" w:hAnsi="Times New Roman" w:cs="Times New Roman"/>
          <w:noProof/>
          <w:sz w:val="18"/>
        </w:rPr>
      </w:pPr>
      <w:r w:rsidRPr="000A7465">
        <w:rPr>
          <w:rFonts w:ascii="Times New Roman" w:eastAsia="Times New Roman" w:hAnsi="Times New Roman" w:cs="Times New Roman"/>
          <w:noProof/>
          <w:sz w:val="18"/>
        </w:rPr>
        <w:t xml:space="preserve">12. </w:t>
      </w:r>
      <w:r w:rsidRPr="000A7465">
        <w:rPr>
          <w:rFonts w:ascii="Times New Roman" w:eastAsia="Times New Roman" w:hAnsi="Times New Roman" w:cs="Times New Roman"/>
          <w:noProof/>
          <w:sz w:val="18"/>
        </w:rPr>
        <w:tab/>
        <w:t xml:space="preserve">Junge A, Lamprecht M, Stamm H, et al. Countrywide campaign to prevent soccer injuries in Swiss amateur players. </w:t>
      </w:r>
      <w:r w:rsidRPr="000A7465">
        <w:rPr>
          <w:rFonts w:ascii="Times New Roman" w:eastAsia="Times New Roman" w:hAnsi="Times New Roman" w:cs="Times New Roman"/>
          <w:i/>
          <w:iCs/>
          <w:noProof/>
          <w:sz w:val="18"/>
        </w:rPr>
        <w:t>Am J Sports Med</w:t>
      </w:r>
      <w:r w:rsidRPr="000A7465">
        <w:rPr>
          <w:rFonts w:ascii="Times New Roman" w:eastAsia="Times New Roman" w:hAnsi="Times New Roman" w:cs="Times New Roman"/>
          <w:noProof/>
          <w:sz w:val="18"/>
        </w:rPr>
        <w:t xml:space="preserve"> 2011;39(1):57-63. doi:10.1177/0363546510377424.</w:t>
      </w:r>
      <w:r w:rsidRPr="000A7465">
        <w:rPr>
          <w:rFonts w:ascii="Times New Roman" w:eastAsia="Times New Roman" w:hAnsi="Times New Roman" w:cs="Times New Roman"/>
          <w:noProof/>
          <w:sz w:val="18"/>
        </w:rPr>
        <w:br/>
      </w:r>
    </w:p>
    <w:p w14:paraId="7A6645A7" w14:textId="4B302D8D" w:rsidR="00502F90" w:rsidRDefault="00502F90">
      <w:pPr>
        <w:rPr>
          <w:rFonts w:ascii="Times New Roman" w:hAnsi="Times New Roman" w:cs="Times New Roman"/>
          <w:sz w:val="18"/>
          <w:szCs w:val="18"/>
        </w:rPr>
      </w:pPr>
      <w:r w:rsidRPr="000A7465">
        <w:rPr>
          <w:rFonts w:ascii="Times New Roman" w:hAnsi="Times New Roman" w:cs="Times New Roman"/>
          <w:sz w:val="18"/>
          <w:szCs w:val="18"/>
        </w:rPr>
        <w:fldChar w:fldCharType="end"/>
      </w:r>
    </w:p>
    <w:p w14:paraId="3F82A80C" w14:textId="77777777" w:rsidR="005C3BAE" w:rsidRDefault="005C3BAE">
      <w:pPr>
        <w:rPr>
          <w:rFonts w:ascii="Times New Roman" w:hAnsi="Times New Roman" w:cs="Times New Roman"/>
          <w:sz w:val="18"/>
          <w:szCs w:val="18"/>
        </w:rPr>
      </w:pPr>
    </w:p>
    <w:p w14:paraId="1275AAFB" w14:textId="77777777" w:rsidR="005C3BAE" w:rsidRPr="000A7465" w:rsidRDefault="005C3BAE">
      <w:pPr>
        <w:rPr>
          <w:rFonts w:ascii="Times New Roman" w:hAnsi="Times New Roman" w:cs="Times New Roman"/>
          <w:sz w:val="18"/>
          <w:szCs w:val="18"/>
        </w:rPr>
      </w:pPr>
    </w:p>
    <w:sectPr w:rsidR="005C3BAE" w:rsidRPr="000A7465" w:rsidSect="00ED3DD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52C2F" w14:textId="77777777" w:rsidR="00AF2E42" w:rsidRDefault="00AF2E42" w:rsidP="00CE0E0E">
      <w:r>
        <w:separator/>
      </w:r>
    </w:p>
  </w:endnote>
  <w:endnote w:type="continuationSeparator" w:id="0">
    <w:p w14:paraId="33FAD089" w14:textId="77777777" w:rsidR="00AF2E42" w:rsidRDefault="00AF2E42" w:rsidP="00CE0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BDFA5" w14:textId="77777777" w:rsidR="00AF2E42" w:rsidRDefault="00AF2E42" w:rsidP="00CE0E0E">
      <w:r>
        <w:separator/>
      </w:r>
    </w:p>
  </w:footnote>
  <w:footnote w:type="continuationSeparator" w:id="0">
    <w:p w14:paraId="1DFA1EE4" w14:textId="77777777" w:rsidR="00AF2E42" w:rsidRDefault="00AF2E42" w:rsidP="00CE0E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035A"/>
    <w:multiLevelType w:val="hybridMultilevel"/>
    <w:tmpl w:val="860CE814"/>
    <w:lvl w:ilvl="0" w:tplc="308CB198">
      <w:numFmt w:val="bullet"/>
      <w:lvlText w:val="•"/>
      <w:lvlJc w:val="left"/>
      <w:pPr>
        <w:ind w:left="216" w:hanging="144"/>
      </w:pPr>
      <w:rPr>
        <w:rFonts w:ascii="Arial" w:eastAsiaTheme="minorHAnsi" w:hAnsi="Aria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93241"/>
    <w:multiLevelType w:val="hybridMultilevel"/>
    <w:tmpl w:val="BF385DC6"/>
    <w:lvl w:ilvl="0" w:tplc="308CB198">
      <w:numFmt w:val="bullet"/>
      <w:lvlText w:val="•"/>
      <w:lvlJc w:val="left"/>
      <w:pPr>
        <w:ind w:left="216" w:hanging="144"/>
      </w:pPr>
      <w:rPr>
        <w:rFonts w:ascii="Arial" w:eastAsiaTheme="minorHAnsi" w:hAnsi="Arial" w:hint="default"/>
      </w:rPr>
    </w:lvl>
    <w:lvl w:ilvl="1" w:tplc="9842AE86">
      <w:start w:val="1"/>
      <w:numFmt w:val="bullet"/>
      <w:lvlText w:val="o"/>
      <w:lvlJc w:val="left"/>
      <w:pPr>
        <w:ind w:left="432" w:hanging="144"/>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94479"/>
    <w:multiLevelType w:val="hybridMultilevel"/>
    <w:tmpl w:val="52F8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9087A"/>
    <w:multiLevelType w:val="hybridMultilevel"/>
    <w:tmpl w:val="A6D6DFC2"/>
    <w:lvl w:ilvl="0" w:tplc="308CB198">
      <w:numFmt w:val="bullet"/>
      <w:lvlText w:val="•"/>
      <w:lvlJc w:val="left"/>
      <w:pPr>
        <w:ind w:left="216" w:hanging="144"/>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ED6C70"/>
    <w:multiLevelType w:val="hybridMultilevel"/>
    <w:tmpl w:val="AB28D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672A44"/>
    <w:multiLevelType w:val="hybridMultilevel"/>
    <w:tmpl w:val="564866B4"/>
    <w:lvl w:ilvl="0" w:tplc="4DE248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DA7D2D"/>
    <w:multiLevelType w:val="hybridMultilevel"/>
    <w:tmpl w:val="6A2809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516D9"/>
    <w:multiLevelType w:val="hybridMultilevel"/>
    <w:tmpl w:val="5A840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807569"/>
    <w:multiLevelType w:val="hybridMultilevel"/>
    <w:tmpl w:val="00AC4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7F4BAC"/>
    <w:multiLevelType w:val="hybridMultilevel"/>
    <w:tmpl w:val="4560D4AE"/>
    <w:lvl w:ilvl="0" w:tplc="4DE2481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0">
    <w:nsid w:val="3D883E76"/>
    <w:multiLevelType w:val="hybridMultilevel"/>
    <w:tmpl w:val="E71A5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382C3C"/>
    <w:multiLevelType w:val="hybridMultilevel"/>
    <w:tmpl w:val="7F903B18"/>
    <w:lvl w:ilvl="0" w:tplc="308CB198">
      <w:numFmt w:val="bullet"/>
      <w:lvlText w:val="•"/>
      <w:lvlJc w:val="left"/>
      <w:pPr>
        <w:ind w:left="216" w:hanging="144"/>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360895"/>
    <w:multiLevelType w:val="hybridMultilevel"/>
    <w:tmpl w:val="D0EA3F8E"/>
    <w:lvl w:ilvl="0" w:tplc="789A1F72">
      <w:start w:val="1"/>
      <w:numFmt w:val="bullet"/>
      <w:lvlText w:val=""/>
      <w:lvlJc w:val="left"/>
      <w:pPr>
        <w:ind w:left="79" w:hanging="79"/>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3">
    <w:nsid w:val="4A415DD9"/>
    <w:multiLevelType w:val="hybridMultilevel"/>
    <w:tmpl w:val="C3A8A2CA"/>
    <w:lvl w:ilvl="0" w:tplc="308CB198">
      <w:numFmt w:val="bullet"/>
      <w:lvlText w:val="•"/>
      <w:lvlJc w:val="left"/>
      <w:pPr>
        <w:ind w:left="216" w:hanging="144"/>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4E3838"/>
    <w:multiLevelType w:val="hybridMultilevel"/>
    <w:tmpl w:val="049C40CC"/>
    <w:lvl w:ilvl="0" w:tplc="308CB198">
      <w:numFmt w:val="bullet"/>
      <w:lvlText w:val="•"/>
      <w:lvlJc w:val="left"/>
      <w:pPr>
        <w:ind w:left="216" w:hanging="144"/>
      </w:pPr>
      <w:rPr>
        <w:rFonts w:ascii="Arial" w:eastAsiaTheme="minorHAnsi"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AA0546"/>
    <w:multiLevelType w:val="hybridMultilevel"/>
    <w:tmpl w:val="8CAAE7D4"/>
    <w:lvl w:ilvl="0" w:tplc="4C362CD6">
      <w:numFmt w:val="bullet"/>
      <w:lvlText w:val="•"/>
      <w:lvlJc w:val="left"/>
      <w:pPr>
        <w:ind w:left="216" w:hanging="144"/>
      </w:pPr>
      <w:rPr>
        <w:rFonts w:ascii="Arial" w:eastAsiaTheme="minorHAnsi" w:hAnsi="Aria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nsid w:val="51F85757"/>
    <w:multiLevelType w:val="hybridMultilevel"/>
    <w:tmpl w:val="BCC8E88E"/>
    <w:lvl w:ilvl="0" w:tplc="308CB198">
      <w:numFmt w:val="bullet"/>
      <w:lvlText w:val="•"/>
      <w:lvlJc w:val="left"/>
      <w:pPr>
        <w:ind w:left="216" w:hanging="144"/>
      </w:pPr>
      <w:rPr>
        <w:rFonts w:ascii="Arial" w:eastAsiaTheme="minorHAnsi" w:hAnsi="Arial" w:hint="default"/>
      </w:rPr>
    </w:lvl>
    <w:lvl w:ilvl="1" w:tplc="171AB680">
      <w:start w:val="1"/>
      <w:numFmt w:val="bullet"/>
      <w:lvlText w:val="o"/>
      <w:lvlJc w:val="left"/>
      <w:pPr>
        <w:ind w:left="374" w:hanging="144"/>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9D725A"/>
    <w:multiLevelType w:val="hybridMultilevel"/>
    <w:tmpl w:val="757EC97E"/>
    <w:lvl w:ilvl="0" w:tplc="308CB198">
      <w:numFmt w:val="bullet"/>
      <w:lvlText w:val="•"/>
      <w:lvlJc w:val="left"/>
      <w:pPr>
        <w:ind w:left="216" w:hanging="144"/>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D50B72"/>
    <w:multiLevelType w:val="hybridMultilevel"/>
    <w:tmpl w:val="69D8E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720FD5"/>
    <w:multiLevelType w:val="hybridMultilevel"/>
    <w:tmpl w:val="30B4E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DD49B7"/>
    <w:multiLevelType w:val="hybridMultilevel"/>
    <w:tmpl w:val="902C8624"/>
    <w:lvl w:ilvl="0" w:tplc="4DE248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23335F"/>
    <w:multiLevelType w:val="hybridMultilevel"/>
    <w:tmpl w:val="0850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BF1FA0"/>
    <w:multiLevelType w:val="hybridMultilevel"/>
    <w:tmpl w:val="92485CBC"/>
    <w:lvl w:ilvl="0" w:tplc="E9E81F28">
      <w:numFmt w:val="bullet"/>
      <w:lvlText w:val="•"/>
      <w:lvlJc w:val="left"/>
      <w:pPr>
        <w:ind w:left="187" w:hanging="144"/>
      </w:pPr>
      <w:rPr>
        <w:rFonts w:ascii="Arial" w:eastAsiaTheme="minorHAnsi" w:hAnsi="Arial" w:hint="default"/>
      </w:rPr>
    </w:lvl>
    <w:lvl w:ilvl="1" w:tplc="A7A2710A">
      <w:start w:val="1"/>
      <w:numFmt w:val="bullet"/>
      <w:lvlText w:val="o"/>
      <w:lvlJc w:val="left"/>
      <w:pPr>
        <w:ind w:left="432" w:hanging="144"/>
      </w:pPr>
      <w:rPr>
        <w:rFonts w:ascii="Courier New" w:hAnsi="Courier New" w:hint="default"/>
      </w:rPr>
    </w:lvl>
    <w:lvl w:ilvl="2" w:tplc="789A1F72">
      <w:start w:val="1"/>
      <w:numFmt w:val="bullet"/>
      <w:lvlText w:val=""/>
      <w:lvlJc w:val="left"/>
      <w:pPr>
        <w:ind w:left="619" w:hanging="79"/>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nsid w:val="75010001"/>
    <w:multiLevelType w:val="hybridMultilevel"/>
    <w:tmpl w:val="98047A22"/>
    <w:lvl w:ilvl="0" w:tplc="789A1F72">
      <w:start w:val="1"/>
      <w:numFmt w:val="bullet"/>
      <w:lvlText w:val=""/>
      <w:lvlJc w:val="left"/>
      <w:pPr>
        <w:ind w:left="619" w:hanging="79"/>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3337FB"/>
    <w:multiLevelType w:val="hybridMultilevel"/>
    <w:tmpl w:val="C31C8090"/>
    <w:lvl w:ilvl="0" w:tplc="308CB198">
      <w:numFmt w:val="bullet"/>
      <w:lvlText w:val="•"/>
      <w:lvlJc w:val="left"/>
      <w:pPr>
        <w:ind w:left="269" w:hanging="144"/>
      </w:pPr>
      <w:rPr>
        <w:rFonts w:ascii="Arial" w:eastAsiaTheme="minorHAnsi" w:hAnsi="Aria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3"/>
  </w:num>
  <w:num w:numId="2">
    <w:abstractNumId w:val="1"/>
  </w:num>
  <w:num w:numId="3">
    <w:abstractNumId w:val="24"/>
  </w:num>
  <w:num w:numId="4">
    <w:abstractNumId w:val="11"/>
  </w:num>
  <w:num w:numId="5">
    <w:abstractNumId w:val="17"/>
  </w:num>
  <w:num w:numId="6">
    <w:abstractNumId w:val="16"/>
  </w:num>
  <w:num w:numId="7">
    <w:abstractNumId w:val="3"/>
  </w:num>
  <w:num w:numId="8">
    <w:abstractNumId w:val="0"/>
  </w:num>
  <w:num w:numId="9">
    <w:abstractNumId w:val="14"/>
  </w:num>
  <w:num w:numId="10">
    <w:abstractNumId w:val="22"/>
  </w:num>
  <w:num w:numId="11">
    <w:abstractNumId w:val="9"/>
  </w:num>
  <w:num w:numId="12">
    <w:abstractNumId w:val="20"/>
  </w:num>
  <w:num w:numId="13">
    <w:abstractNumId w:val="5"/>
  </w:num>
  <w:num w:numId="14">
    <w:abstractNumId w:val="4"/>
  </w:num>
  <w:num w:numId="15">
    <w:abstractNumId w:val="21"/>
  </w:num>
  <w:num w:numId="16">
    <w:abstractNumId w:val="18"/>
  </w:num>
  <w:num w:numId="17">
    <w:abstractNumId w:val="19"/>
  </w:num>
  <w:num w:numId="18">
    <w:abstractNumId w:val="2"/>
  </w:num>
  <w:num w:numId="19">
    <w:abstractNumId w:val="23"/>
  </w:num>
  <w:num w:numId="20">
    <w:abstractNumId w:val="12"/>
  </w:num>
  <w:num w:numId="21">
    <w:abstractNumId w:val="7"/>
  </w:num>
  <w:num w:numId="22">
    <w:abstractNumId w:val="15"/>
  </w:num>
  <w:num w:numId="23">
    <w:abstractNumId w:val="8"/>
  </w:num>
  <w:num w:numId="24">
    <w:abstractNumId w:val="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BA"/>
    <w:rsid w:val="00000983"/>
    <w:rsid w:val="00002791"/>
    <w:rsid w:val="00004166"/>
    <w:rsid w:val="00013DE8"/>
    <w:rsid w:val="00030EE2"/>
    <w:rsid w:val="000505D2"/>
    <w:rsid w:val="000569BE"/>
    <w:rsid w:val="00056DEA"/>
    <w:rsid w:val="000667CC"/>
    <w:rsid w:val="00075B94"/>
    <w:rsid w:val="00082B0E"/>
    <w:rsid w:val="000A4463"/>
    <w:rsid w:val="000A6554"/>
    <w:rsid w:val="000A7465"/>
    <w:rsid w:val="000B69F9"/>
    <w:rsid w:val="000C3E05"/>
    <w:rsid w:val="000E04E5"/>
    <w:rsid w:val="000E25A5"/>
    <w:rsid w:val="000F122F"/>
    <w:rsid w:val="00101AE0"/>
    <w:rsid w:val="00102CFD"/>
    <w:rsid w:val="00106278"/>
    <w:rsid w:val="00117626"/>
    <w:rsid w:val="001217F3"/>
    <w:rsid w:val="001268F8"/>
    <w:rsid w:val="00133ECD"/>
    <w:rsid w:val="0014011D"/>
    <w:rsid w:val="00164E10"/>
    <w:rsid w:val="001A1144"/>
    <w:rsid w:val="001B1A6C"/>
    <w:rsid w:val="001B2625"/>
    <w:rsid w:val="001B77C5"/>
    <w:rsid w:val="001C194F"/>
    <w:rsid w:val="001C3894"/>
    <w:rsid w:val="001C7662"/>
    <w:rsid w:val="001C7F9C"/>
    <w:rsid w:val="001E3807"/>
    <w:rsid w:val="001F02B0"/>
    <w:rsid w:val="00207DAC"/>
    <w:rsid w:val="002259F7"/>
    <w:rsid w:val="00230823"/>
    <w:rsid w:val="002447FA"/>
    <w:rsid w:val="002472FE"/>
    <w:rsid w:val="00247CEC"/>
    <w:rsid w:val="00252123"/>
    <w:rsid w:val="002627EF"/>
    <w:rsid w:val="00277AA5"/>
    <w:rsid w:val="00282DA4"/>
    <w:rsid w:val="002C4029"/>
    <w:rsid w:val="002D0F44"/>
    <w:rsid w:val="002F3642"/>
    <w:rsid w:val="00304596"/>
    <w:rsid w:val="00333AB0"/>
    <w:rsid w:val="00367F26"/>
    <w:rsid w:val="00367F76"/>
    <w:rsid w:val="003761A9"/>
    <w:rsid w:val="003B1217"/>
    <w:rsid w:val="003C28EE"/>
    <w:rsid w:val="003D7BEA"/>
    <w:rsid w:val="003E4C3E"/>
    <w:rsid w:val="0044410E"/>
    <w:rsid w:val="004462DC"/>
    <w:rsid w:val="004551CE"/>
    <w:rsid w:val="004649F3"/>
    <w:rsid w:val="00467597"/>
    <w:rsid w:val="00477C3E"/>
    <w:rsid w:val="004933B1"/>
    <w:rsid w:val="00497834"/>
    <w:rsid w:val="004A0279"/>
    <w:rsid w:val="004B1BCA"/>
    <w:rsid w:val="004D364B"/>
    <w:rsid w:val="004E0029"/>
    <w:rsid w:val="004E11E0"/>
    <w:rsid w:val="004E2A12"/>
    <w:rsid w:val="004E2BA4"/>
    <w:rsid w:val="00502F90"/>
    <w:rsid w:val="00503FCE"/>
    <w:rsid w:val="00504EDE"/>
    <w:rsid w:val="005406D6"/>
    <w:rsid w:val="00540E58"/>
    <w:rsid w:val="00546869"/>
    <w:rsid w:val="005619F9"/>
    <w:rsid w:val="00562D1E"/>
    <w:rsid w:val="0057262B"/>
    <w:rsid w:val="005825FE"/>
    <w:rsid w:val="00582A38"/>
    <w:rsid w:val="00585E4A"/>
    <w:rsid w:val="00592E85"/>
    <w:rsid w:val="00593ADA"/>
    <w:rsid w:val="005A33B7"/>
    <w:rsid w:val="005C3BAE"/>
    <w:rsid w:val="005C4E06"/>
    <w:rsid w:val="005D1D29"/>
    <w:rsid w:val="005E3D84"/>
    <w:rsid w:val="00627D62"/>
    <w:rsid w:val="0064184D"/>
    <w:rsid w:val="0064515E"/>
    <w:rsid w:val="006738A7"/>
    <w:rsid w:val="00680920"/>
    <w:rsid w:val="0069450A"/>
    <w:rsid w:val="00697528"/>
    <w:rsid w:val="006B6962"/>
    <w:rsid w:val="006E77A3"/>
    <w:rsid w:val="006F1523"/>
    <w:rsid w:val="006F16F3"/>
    <w:rsid w:val="006F5353"/>
    <w:rsid w:val="006F5BA1"/>
    <w:rsid w:val="006F76D1"/>
    <w:rsid w:val="006F7B69"/>
    <w:rsid w:val="00713249"/>
    <w:rsid w:val="00713376"/>
    <w:rsid w:val="007165C8"/>
    <w:rsid w:val="00722841"/>
    <w:rsid w:val="0073093E"/>
    <w:rsid w:val="00740A28"/>
    <w:rsid w:val="00750179"/>
    <w:rsid w:val="007522CE"/>
    <w:rsid w:val="0079043B"/>
    <w:rsid w:val="007A1553"/>
    <w:rsid w:val="007A2184"/>
    <w:rsid w:val="007B6FEF"/>
    <w:rsid w:val="007C27C9"/>
    <w:rsid w:val="007D39D6"/>
    <w:rsid w:val="007E1AD2"/>
    <w:rsid w:val="007E3866"/>
    <w:rsid w:val="007F16DB"/>
    <w:rsid w:val="0082174C"/>
    <w:rsid w:val="0082320B"/>
    <w:rsid w:val="008359D3"/>
    <w:rsid w:val="008567C1"/>
    <w:rsid w:val="00870587"/>
    <w:rsid w:val="00872BD8"/>
    <w:rsid w:val="00895BBA"/>
    <w:rsid w:val="008B118C"/>
    <w:rsid w:val="008B548D"/>
    <w:rsid w:val="008C226D"/>
    <w:rsid w:val="008C5D47"/>
    <w:rsid w:val="008D5C1A"/>
    <w:rsid w:val="008F17CC"/>
    <w:rsid w:val="00903C61"/>
    <w:rsid w:val="00916BBB"/>
    <w:rsid w:val="009344FA"/>
    <w:rsid w:val="00940843"/>
    <w:rsid w:val="0096666B"/>
    <w:rsid w:val="009669AD"/>
    <w:rsid w:val="00970540"/>
    <w:rsid w:val="009866FB"/>
    <w:rsid w:val="00990C64"/>
    <w:rsid w:val="009946A9"/>
    <w:rsid w:val="009970E0"/>
    <w:rsid w:val="009A26F0"/>
    <w:rsid w:val="009C1AC8"/>
    <w:rsid w:val="009D18FB"/>
    <w:rsid w:val="009D5C22"/>
    <w:rsid w:val="009D6B55"/>
    <w:rsid w:val="009E04C9"/>
    <w:rsid w:val="009E1D5B"/>
    <w:rsid w:val="009E3D7D"/>
    <w:rsid w:val="009F00B0"/>
    <w:rsid w:val="00A122A4"/>
    <w:rsid w:val="00A144C8"/>
    <w:rsid w:val="00A30A10"/>
    <w:rsid w:val="00A3407E"/>
    <w:rsid w:val="00A40615"/>
    <w:rsid w:val="00A53545"/>
    <w:rsid w:val="00A55196"/>
    <w:rsid w:val="00A562F1"/>
    <w:rsid w:val="00A82EC1"/>
    <w:rsid w:val="00AA0A00"/>
    <w:rsid w:val="00AB54E6"/>
    <w:rsid w:val="00AC2812"/>
    <w:rsid w:val="00AC2FF0"/>
    <w:rsid w:val="00AC594B"/>
    <w:rsid w:val="00AF03ED"/>
    <w:rsid w:val="00AF2E42"/>
    <w:rsid w:val="00B0070A"/>
    <w:rsid w:val="00B01261"/>
    <w:rsid w:val="00B0366B"/>
    <w:rsid w:val="00B04525"/>
    <w:rsid w:val="00B26A19"/>
    <w:rsid w:val="00B609FB"/>
    <w:rsid w:val="00B62AF5"/>
    <w:rsid w:val="00B70638"/>
    <w:rsid w:val="00B86BDF"/>
    <w:rsid w:val="00B946D0"/>
    <w:rsid w:val="00B97113"/>
    <w:rsid w:val="00BB1115"/>
    <w:rsid w:val="00BC431A"/>
    <w:rsid w:val="00BD2E87"/>
    <w:rsid w:val="00BF04C0"/>
    <w:rsid w:val="00BF737D"/>
    <w:rsid w:val="00C01B87"/>
    <w:rsid w:val="00C02AF4"/>
    <w:rsid w:val="00C133F0"/>
    <w:rsid w:val="00C13D05"/>
    <w:rsid w:val="00C24AE0"/>
    <w:rsid w:val="00C3726D"/>
    <w:rsid w:val="00C4136A"/>
    <w:rsid w:val="00C54E57"/>
    <w:rsid w:val="00C609F5"/>
    <w:rsid w:val="00C73C3A"/>
    <w:rsid w:val="00C7412E"/>
    <w:rsid w:val="00C744B2"/>
    <w:rsid w:val="00C776A4"/>
    <w:rsid w:val="00C95A53"/>
    <w:rsid w:val="00CA599F"/>
    <w:rsid w:val="00CC36C5"/>
    <w:rsid w:val="00CC5F9A"/>
    <w:rsid w:val="00CC7099"/>
    <w:rsid w:val="00CE0E0E"/>
    <w:rsid w:val="00CE152A"/>
    <w:rsid w:val="00D03B7A"/>
    <w:rsid w:val="00D15E94"/>
    <w:rsid w:val="00D45645"/>
    <w:rsid w:val="00D61CDC"/>
    <w:rsid w:val="00D6333B"/>
    <w:rsid w:val="00D66EF6"/>
    <w:rsid w:val="00D7528B"/>
    <w:rsid w:val="00D84F85"/>
    <w:rsid w:val="00D85F5F"/>
    <w:rsid w:val="00D8752D"/>
    <w:rsid w:val="00DA11E2"/>
    <w:rsid w:val="00DC3CEB"/>
    <w:rsid w:val="00DD10BE"/>
    <w:rsid w:val="00DD5736"/>
    <w:rsid w:val="00DE18BE"/>
    <w:rsid w:val="00DE2D3C"/>
    <w:rsid w:val="00E1278A"/>
    <w:rsid w:val="00E15362"/>
    <w:rsid w:val="00E42956"/>
    <w:rsid w:val="00E513CF"/>
    <w:rsid w:val="00E73D0C"/>
    <w:rsid w:val="00E86016"/>
    <w:rsid w:val="00E93D27"/>
    <w:rsid w:val="00E95074"/>
    <w:rsid w:val="00EB314F"/>
    <w:rsid w:val="00EC401F"/>
    <w:rsid w:val="00EC58B5"/>
    <w:rsid w:val="00ED3DDA"/>
    <w:rsid w:val="00ED63FA"/>
    <w:rsid w:val="00EE0928"/>
    <w:rsid w:val="00EE276F"/>
    <w:rsid w:val="00F077BA"/>
    <w:rsid w:val="00F11804"/>
    <w:rsid w:val="00F20BE6"/>
    <w:rsid w:val="00F251F7"/>
    <w:rsid w:val="00F26338"/>
    <w:rsid w:val="00F267F1"/>
    <w:rsid w:val="00F2789F"/>
    <w:rsid w:val="00F34429"/>
    <w:rsid w:val="00F44427"/>
    <w:rsid w:val="00F538FF"/>
    <w:rsid w:val="00F56EE7"/>
    <w:rsid w:val="00F769B2"/>
    <w:rsid w:val="00F80D71"/>
    <w:rsid w:val="00F81F6A"/>
    <w:rsid w:val="00FB3BF1"/>
    <w:rsid w:val="00FC3CBE"/>
    <w:rsid w:val="00FD139D"/>
    <w:rsid w:val="00FD1E6D"/>
    <w:rsid w:val="00FD3429"/>
    <w:rsid w:val="00FF2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73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1A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6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3CBE"/>
    <w:pPr>
      <w:ind w:left="720"/>
      <w:contextualSpacing/>
    </w:pPr>
  </w:style>
  <w:style w:type="paragraph" w:styleId="Header">
    <w:name w:val="header"/>
    <w:basedOn w:val="Normal"/>
    <w:link w:val="HeaderChar"/>
    <w:uiPriority w:val="99"/>
    <w:unhideWhenUsed/>
    <w:rsid w:val="00CE0E0E"/>
    <w:pPr>
      <w:tabs>
        <w:tab w:val="center" w:pos="4680"/>
        <w:tab w:val="right" w:pos="9360"/>
      </w:tabs>
    </w:pPr>
  </w:style>
  <w:style w:type="character" w:customStyle="1" w:styleId="HeaderChar">
    <w:name w:val="Header Char"/>
    <w:basedOn w:val="DefaultParagraphFont"/>
    <w:link w:val="Header"/>
    <w:uiPriority w:val="99"/>
    <w:rsid w:val="00CE0E0E"/>
  </w:style>
  <w:style w:type="paragraph" w:styleId="Footer">
    <w:name w:val="footer"/>
    <w:basedOn w:val="Normal"/>
    <w:link w:val="FooterChar"/>
    <w:uiPriority w:val="99"/>
    <w:unhideWhenUsed/>
    <w:rsid w:val="00CE0E0E"/>
    <w:pPr>
      <w:tabs>
        <w:tab w:val="center" w:pos="4680"/>
        <w:tab w:val="right" w:pos="9360"/>
      </w:tabs>
    </w:pPr>
  </w:style>
  <w:style w:type="character" w:customStyle="1" w:styleId="FooterChar">
    <w:name w:val="Footer Char"/>
    <w:basedOn w:val="DefaultParagraphFont"/>
    <w:link w:val="Footer"/>
    <w:uiPriority w:val="99"/>
    <w:rsid w:val="00CE0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6375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759</TotalTime>
  <Pages>9</Pages>
  <Words>12464</Words>
  <Characters>71050</Characters>
  <Application>Microsoft Macintosh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Pathman</dc:creator>
  <cp:keywords/>
  <dc:description/>
  <cp:lastModifiedBy>Mollie Pathman</cp:lastModifiedBy>
  <cp:revision>71</cp:revision>
  <dcterms:created xsi:type="dcterms:W3CDTF">2019-02-12T22:35:00Z</dcterms:created>
  <dcterms:modified xsi:type="dcterms:W3CDTF">2019-03-29T12:00:00Z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Id">
    <vt:lpwstr>http://www.zotero.org/styles/american-medical-association</vt:lpwstr>
  </property>
</Properties>
</file>