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DE42" w14:textId="404EC031" w:rsidR="00974D7E" w:rsidRPr="00974D7E" w:rsidRDefault="00974D7E" w:rsidP="00071141">
      <w:pPr>
        <w:rPr>
          <w:b/>
          <w:u w:val="single"/>
        </w:rPr>
      </w:pPr>
      <w:bookmarkStart w:id="0" w:name="_GoBack"/>
      <w:bookmarkEnd w:id="0"/>
      <w:r w:rsidRPr="00974D7E">
        <w:rPr>
          <w:b/>
          <w:u w:val="single"/>
        </w:rPr>
        <w:t>Name: Ashley Lewis</w:t>
      </w:r>
    </w:p>
    <w:p w14:paraId="1ED9C8C1" w14:textId="77777777" w:rsidR="00974D7E" w:rsidRDefault="00974D7E" w:rsidP="00071141">
      <w:pPr>
        <w:rPr>
          <w:u w:val="single"/>
        </w:rPr>
      </w:pPr>
    </w:p>
    <w:p w14:paraId="48509AE7" w14:textId="33A5D3B6" w:rsidR="00071141" w:rsidRPr="00974D7E" w:rsidRDefault="00974D7E" w:rsidP="00071141">
      <w:pPr>
        <w:rPr>
          <w:b/>
        </w:rPr>
      </w:pPr>
      <w:r w:rsidRPr="00974D7E">
        <w:rPr>
          <w:b/>
          <w:u w:val="single"/>
        </w:rPr>
        <w:t xml:space="preserve">Project Title: </w:t>
      </w:r>
      <w:bookmarkStart w:id="1" w:name="_Hlk4481284"/>
      <w:r w:rsidR="00071141" w:rsidRPr="00974D7E">
        <w:rPr>
          <w:b/>
          <w:u w:val="single"/>
        </w:rPr>
        <w:t>Factors that Correlate with an Increase in Fracture Risk in Patients Who Have Been Diagnosed with Bony Metastatic Disease</w:t>
      </w:r>
      <w:bookmarkEnd w:id="1"/>
    </w:p>
    <w:p w14:paraId="57535D51" w14:textId="5D733E6D" w:rsidR="00840DCA" w:rsidRDefault="00840DCA"/>
    <w:tbl>
      <w:tblPr>
        <w:tblStyle w:val="TableGrid"/>
        <w:tblW w:w="0" w:type="auto"/>
        <w:tblLook w:val="04A0" w:firstRow="1" w:lastRow="0" w:firstColumn="1" w:lastColumn="0" w:noHBand="0" w:noVBand="1"/>
      </w:tblPr>
      <w:tblGrid>
        <w:gridCol w:w="1665"/>
        <w:gridCol w:w="1563"/>
        <w:gridCol w:w="1763"/>
        <w:gridCol w:w="2191"/>
        <w:gridCol w:w="2672"/>
        <w:gridCol w:w="3096"/>
      </w:tblGrid>
      <w:tr w:rsidR="00B452B0" w14:paraId="089DF638" w14:textId="17EE24E6" w:rsidTr="004864AD">
        <w:tc>
          <w:tcPr>
            <w:tcW w:w="1665" w:type="dxa"/>
          </w:tcPr>
          <w:p w14:paraId="45033D2A" w14:textId="302BC265" w:rsidR="001236AA" w:rsidRPr="001236AA" w:rsidRDefault="001236AA" w:rsidP="00824444">
            <w:pPr>
              <w:rPr>
                <w:b/>
              </w:rPr>
            </w:pPr>
            <w:r w:rsidRPr="001236AA">
              <w:rPr>
                <w:b/>
              </w:rPr>
              <w:t>Study Details</w:t>
            </w:r>
          </w:p>
        </w:tc>
        <w:tc>
          <w:tcPr>
            <w:tcW w:w="1563" w:type="dxa"/>
          </w:tcPr>
          <w:p w14:paraId="284E4CE6" w14:textId="77336952" w:rsidR="001236AA" w:rsidRDefault="001236AA" w:rsidP="00824444">
            <w:r w:rsidRPr="00755C0C">
              <w:rPr>
                <w:b/>
              </w:rPr>
              <w:t>Purpose</w:t>
            </w:r>
          </w:p>
        </w:tc>
        <w:tc>
          <w:tcPr>
            <w:tcW w:w="1763" w:type="dxa"/>
          </w:tcPr>
          <w:p w14:paraId="5EE8E8D2" w14:textId="69122AA6" w:rsidR="001236AA" w:rsidRDefault="001236AA" w:rsidP="00824444">
            <w:r>
              <w:rPr>
                <w:b/>
              </w:rPr>
              <w:t>Subjects</w:t>
            </w:r>
          </w:p>
        </w:tc>
        <w:tc>
          <w:tcPr>
            <w:tcW w:w="2191" w:type="dxa"/>
          </w:tcPr>
          <w:p w14:paraId="72F455DD" w14:textId="57494DB2" w:rsidR="001236AA" w:rsidRDefault="001236AA" w:rsidP="00824444">
            <w:pPr>
              <w:rPr>
                <w:b/>
              </w:rPr>
            </w:pPr>
            <w:r>
              <w:rPr>
                <w:b/>
              </w:rPr>
              <w:t>Outcome Measures</w:t>
            </w:r>
          </w:p>
        </w:tc>
        <w:tc>
          <w:tcPr>
            <w:tcW w:w="2672" w:type="dxa"/>
          </w:tcPr>
          <w:p w14:paraId="228E46D9" w14:textId="4115EF9E" w:rsidR="001236AA" w:rsidRDefault="001236AA" w:rsidP="00824444">
            <w:r>
              <w:rPr>
                <w:b/>
              </w:rPr>
              <w:t>Results and conclusions</w:t>
            </w:r>
          </w:p>
        </w:tc>
        <w:tc>
          <w:tcPr>
            <w:tcW w:w="3096" w:type="dxa"/>
          </w:tcPr>
          <w:p w14:paraId="260A4F97" w14:textId="78D8BCF1" w:rsidR="001236AA" w:rsidRDefault="00FF056B" w:rsidP="00824444">
            <w:pPr>
              <w:rPr>
                <w:b/>
              </w:rPr>
            </w:pPr>
            <w:r>
              <w:rPr>
                <w:b/>
              </w:rPr>
              <w:t>Strengths</w:t>
            </w:r>
            <w:r w:rsidR="001236AA">
              <w:rPr>
                <w:b/>
              </w:rPr>
              <w:t>/Limitations</w:t>
            </w:r>
            <w:r w:rsidR="004C4579">
              <w:rPr>
                <w:b/>
              </w:rPr>
              <w:t>/Notes</w:t>
            </w:r>
          </w:p>
        </w:tc>
      </w:tr>
      <w:tr w:rsidR="00B452B0" w14:paraId="1FF6139A" w14:textId="4217F3B8" w:rsidTr="004864AD">
        <w:tc>
          <w:tcPr>
            <w:tcW w:w="1665" w:type="dxa"/>
          </w:tcPr>
          <w:p w14:paraId="4338DF41" w14:textId="586CB6B2" w:rsidR="00FF056B" w:rsidRPr="000B6756" w:rsidRDefault="00FF056B" w:rsidP="00FF056B">
            <w:pPr>
              <w:rPr>
                <w:b/>
                <w:sz w:val="22"/>
                <w:szCs w:val="22"/>
              </w:rPr>
            </w:pPr>
            <w:r w:rsidRPr="000B6756">
              <w:rPr>
                <w:b/>
                <w:sz w:val="22"/>
                <w:szCs w:val="22"/>
              </w:rPr>
              <w:t>Author/Year</w:t>
            </w:r>
            <w:r w:rsidR="000007C8" w:rsidRPr="000B6756">
              <w:rPr>
                <w:b/>
                <w:sz w:val="22"/>
                <w:szCs w:val="22"/>
              </w:rPr>
              <w:t xml:space="preserve">: </w:t>
            </w:r>
            <w:r w:rsidR="000007C8" w:rsidRPr="000B6756">
              <w:rPr>
                <w:sz w:val="22"/>
                <w:szCs w:val="22"/>
              </w:rPr>
              <w:t>Yong-Cheng, et. al/2012</w:t>
            </w:r>
            <w:r w:rsidR="008D3362">
              <w:rPr>
                <w:sz w:val="22"/>
                <w:szCs w:val="22"/>
              </w:rPr>
              <w:fldChar w:fldCharType="begin"/>
            </w:r>
            <w:r w:rsidR="008D3362">
              <w:rPr>
                <w:sz w:val="22"/>
                <w:szCs w:val="22"/>
              </w:rPr>
              <w:instrText>ADDIN F1000_CSL_CITATION&lt;~#@#~&gt;[{"title":"Clinical features of neoplastic pathological fracture in long bones.","id":"6531689","page":"3127-3132","type":"article-journal","volume":"125","issue":"17","author":[{"family":"Hu","given":"Yong-Cheng"},{"family":"Lun","given":"Deng-Xing"},{"family":"Wang","given":"Han"}],"issued":{"date-parts":[["2012","9"]]},"container-title":"Chinese Medical Journal","container-title-short":"Chin. Med. J.","journalAbbreviation":"Chin. Med. J.","PMID":"22932193","citation-label":"6531689","Abstract":"&lt;strong&gt;BACKGROUND:&lt;/strong&gt; Pathological fractures signify a potentially more aggressive subset of the original disease with higher misdiagnosis rates and inferior oncologic results. The purpose of the present study was to explore the clinical features of neoplastic pathological fracture in extremities.&lt;br&gt;&lt;br&gt;&lt;strong&gt;METHODS:&lt;/strong&gt; From August 2002 to December 2010, a consecutive series of 139 patients suffering neoplastic pathological fracture were recruited, including 79 males and 60 females with a mean age of 31.3 years. Fractures were classified into five groups: tumor-like lesions (55), benign bone tumors (13), giant cell tumors (7), primary malignant bone tumors (28), and metastatic bone tumors (36). Based on their inducing forces, pathologic fractures were classified into four grades: spontaneous fracture, functional fracture, minor injury, and traumatic injury. Patients' age, fracture site, histological diagnoses, fracture forces, prodromes, and misdiagnosis were well reviewed. Kruskal-Wallis and χ(2) tests were used to compare forces and prodromes within different types of bone tumors.&lt;br&gt;&lt;br&gt;&lt;strong&gt;RESULTS:&lt;/strong&gt; The highest pathologic fracture morbidity was 32.3% (45/139), which lay in the 11 - 20 year group, and 86.1% of metastatic tumors occurred in the 50 - 80 year group. The common sites of fractures were femur, humerus, and tibia. The fracture forces in benign bone tumors and tumor-like lesions are the strongest, followed by metastatic tumors and primary malignant bone tumors (H(C) = 80.980, P = 0.000). Sixty-seven patients (48.2%) had local prodromes before pathologic fracture. The incidence rates of prodromes between primary malignant tumors and metastatic bone tumors had no significant difference (P = 0.146), but they were all obviously higher than that of benign bone tumors and tumor-like lesions. Twenty patients experienced misdiagnosis.&lt;br&gt;&lt;br&gt;&lt;strong&gt;CONCLUSION:&lt;/strong&gt; Minor injury forces and local prodromes are clinical features of neoplastic pathologic fractures and they are also the critical factor avoiding misdiagnoses.","CleanAbstract":"BACKGROUND: Pathological fractures signify a potentially more aggressive subset of the original disease with higher misdiagnosis rates and inferior oncologic results. The purpose of the present study was to explore the clinical features of neoplastic pathological fracture in extremities.METHODS: From August 2002 to December 2010, a consecutive series of 139 patients suffering neoplastic pathological fracture were recruited, including 79 males and 60 females with a mean age of 31.3 years. Fractures were classified into five groups: tumor-like lesions (55), benign bone tumors (13), giant cell tumors (7), primary malignant bone tumors (28), and metastatic bone tumors (36). Based on their inducing forces, pathologic fractures were classified into four grades: spontaneous fracture, functional fracture, minor injury, and traumatic injury. Patients' age, fracture site, histological diagnoses, fracture forces, prodromes, and misdiagnosis were well reviewed. Kruskal-Wallis and χ(2) tests were used to compare forces and prodromes within different types of bone tumors.RESULTS: The highest pathologic fracture morbidity was 32.3% (45/139), which lay in the 11 - 20 year group, and 86.1% of metastatic tumors occurred in the 50 - 80 year group. The common sites of fractures were femur, humerus, and tibia. The fracture forces in benign bone tumors and tumor-like lesions are the strongest, followed by metastatic tumors and primary malignant bone tumors (H(C) = 80.980, P = 0.000). Sixty-seven patients (48.2%) had local prodromes before pathologic fracture. The incidence rates of prodromes between primary malignant tumors and metastatic bone tumors had no significant difference (P = 0.146), but they were all obviously higher than that of benign bone tumors and tumor-like lesions. Twenty patients experienced misdiagnosis.CONCLUSION: Minor injury forces and local prodromes are clinical features of neoplastic pathologic fractures and they are also the critical factor avoiding misdiagnoses."}]</w:instrText>
            </w:r>
            <w:r w:rsidR="008D3362">
              <w:rPr>
                <w:sz w:val="22"/>
                <w:szCs w:val="22"/>
              </w:rPr>
              <w:fldChar w:fldCharType="separate"/>
            </w:r>
            <w:r w:rsidR="008D3362" w:rsidRPr="008D3362">
              <w:rPr>
                <w:sz w:val="22"/>
                <w:szCs w:val="22"/>
                <w:vertAlign w:val="superscript"/>
              </w:rPr>
              <w:t>1</w:t>
            </w:r>
            <w:r w:rsidR="008D3362">
              <w:rPr>
                <w:sz w:val="22"/>
                <w:szCs w:val="22"/>
              </w:rPr>
              <w:fldChar w:fldCharType="end"/>
            </w:r>
          </w:p>
          <w:p w14:paraId="01267173" w14:textId="56AC66CA" w:rsidR="001236AA" w:rsidRPr="000B6756" w:rsidRDefault="00FF056B" w:rsidP="00824444">
            <w:pPr>
              <w:rPr>
                <w:sz w:val="22"/>
                <w:szCs w:val="22"/>
              </w:rPr>
            </w:pPr>
            <w:r w:rsidRPr="000B6756">
              <w:rPr>
                <w:b/>
                <w:sz w:val="22"/>
                <w:szCs w:val="22"/>
              </w:rPr>
              <w:t>Study Design</w:t>
            </w:r>
            <w:r w:rsidR="000007C8" w:rsidRPr="000B6756">
              <w:rPr>
                <w:b/>
                <w:sz w:val="22"/>
                <w:szCs w:val="22"/>
              </w:rPr>
              <w:t xml:space="preserve">: </w:t>
            </w:r>
            <w:r w:rsidR="000007C8" w:rsidRPr="000B6756">
              <w:rPr>
                <w:sz w:val="22"/>
                <w:szCs w:val="22"/>
              </w:rPr>
              <w:t>Retrospective review</w:t>
            </w:r>
          </w:p>
        </w:tc>
        <w:tc>
          <w:tcPr>
            <w:tcW w:w="1563" w:type="dxa"/>
          </w:tcPr>
          <w:p w14:paraId="3ADAF835" w14:textId="64BDCF48" w:rsidR="001236AA" w:rsidRPr="000B6756" w:rsidRDefault="001236AA" w:rsidP="00824444">
            <w:pPr>
              <w:rPr>
                <w:sz w:val="22"/>
                <w:szCs w:val="22"/>
              </w:rPr>
            </w:pPr>
            <w:r w:rsidRPr="000B6756">
              <w:rPr>
                <w:sz w:val="22"/>
                <w:szCs w:val="22"/>
              </w:rPr>
              <w:t>Explore</w:t>
            </w:r>
            <w:r w:rsidR="000007C8" w:rsidRPr="000B6756">
              <w:rPr>
                <w:sz w:val="22"/>
                <w:szCs w:val="22"/>
              </w:rPr>
              <w:t xml:space="preserve"> clinical</w:t>
            </w:r>
            <w:r w:rsidRPr="000B6756">
              <w:rPr>
                <w:sz w:val="22"/>
                <w:szCs w:val="22"/>
              </w:rPr>
              <w:t xml:space="preserve"> features of pathological fractures in extremities caused by bone tumors and lesions</w:t>
            </w:r>
          </w:p>
        </w:tc>
        <w:tc>
          <w:tcPr>
            <w:tcW w:w="1763" w:type="dxa"/>
          </w:tcPr>
          <w:p w14:paraId="4945D492" w14:textId="77777777" w:rsidR="001236AA" w:rsidRPr="000B6756" w:rsidRDefault="001236AA" w:rsidP="00824444">
            <w:pPr>
              <w:rPr>
                <w:sz w:val="22"/>
                <w:szCs w:val="22"/>
              </w:rPr>
            </w:pPr>
            <w:r w:rsidRPr="000B6756">
              <w:rPr>
                <w:sz w:val="22"/>
                <w:szCs w:val="22"/>
              </w:rPr>
              <w:t>139 patients with pathological fractures were recruited</w:t>
            </w:r>
          </w:p>
          <w:p w14:paraId="5E16228D" w14:textId="77777777" w:rsidR="000007C8" w:rsidRPr="000B6756" w:rsidRDefault="000007C8" w:rsidP="00824444">
            <w:pPr>
              <w:rPr>
                <w:sz w:val="22"/>
                <w:szCs w:val="22"/>
              </w:rPr>
            </w:pPr>
          </w:p>
          <w:p w14:paraId="5CEA26D7" w14:textId="453BBC17" w:rsidR="00310DE6" w:rsidRPr="000B6756" w:rsidRDefault="000007C8" w:rsidP="00824444">
            <w:pPr>
              <w:rPr>
                <w:sz w:val="22"/>
                <w:szCs w:val="22"/>
              </w:rPr>
            </w:pPr>
            <w:r w:rsidRPr="000B6756">
              <w:rPr>
                <w:sz w:val="22"/>
                <w:szCs w:val="22"/>
              </w:rPr>
              <w:t>- 79 males and 60 females</w:t>
            </w:r>
            <w:r w:rsidR="000B6756">
              <w:rPr>
                <w:sz w:val="22"/>
                <w:szCs w:val="22"/>
              </w:rPr>
              <w:t xml:space="preserve"> with </w:t>
            </w:r>
            <w:r w:rsidR="00310DE6" w:rsidRPr="000B6756">
              <w:rPr>
                <w:sz w:val="22"/>
                <w:szCs w:val="22"/>
              </w:rPr>
              <w:t>diagnosis of bone tumors or tumor like lesions and pathological fractures located in the long bones</w:t>
            </w:r>
          </w:p>
          <w:p w14:paraId="7D70E244" w14:textId="1FAB8DA2" w:rsidR="005F6EE8" w:rsidRPr="000B6756" w:rsidRDefault="005F6EE8" w:rsidP="00824444">
            <w:pPr>
              <w:rPr>
                <w:sz w:val="22"/>
                <w:szCs w:val="22"/>
              </w:rPr>
            </w:pPr>
          </w:p>
        </w:tc>
        <w:tc>
          <w:tcPr>
            <w:tcW w:w="2191" w:type="dxa"/>
          </w:tcPr>
          <w:p w14:paraId="6E89BABE" w14:textId="40A34179" w:rsidR="00B130BD" w:rsidRPr="000B6756" w:rsidRDefault="00B130BD" w:rsidP="00824444">
            <w:pPr>
              <w:rPr>
                <w:sz w:val="22"/>
                <w:szCs w:val="22"/>
              </w:rPr>
            </w:pPr>
            <w:r w:rsidRPr="000B6756">
              <w:rPr>
                <w:sz w:val="22"/>
                <w:szCs w:val="22"/>
              </w:rPr>
              <w:t xml:space="preserve">- Differences in fracture forces between groups of bone tumors </w:t>
            </w:r>
          </w:p>
          <w:p w14:paraId="7BD0B103" w14:textId="2490D2F3" w:rsidR="00B130BD" w:rsidRPr="000B6756" w:rsidRDefault="00B130BD" w:rsidP="00824444">
            <w:pPr>
              <w:rPr>
                <w:sz w:val="22"/>
                <w:szCs w:val="22"/>
              </w:rPr>
            </w:pPr>
            <w:r w:rsidRPr="000B6756">
              <w:rPr>
                <w:sz w:val="22"/>
                <w:szCs w:val="22"/>
              </w:rPr>
              <w:t>-</w:t>
            </w:r>
            <w:r w:rsidR="00237552">
              <w:rPr>
                <w:sz w:val="22"/>
                <w:szCs w:val="22"/>
              </w:rPr>
              <w:t>P</w:t>
            </w:r>
            <w:r w:rsidRPr="000B6756">
              <w:rPr>
                <w:sz w:val="22"/>
                <w:szCs w:val="22"/>
              </w:rPr>
              <w:t>rodromes between different group of bone tumors</w:t>
            </w:r>
            <w:r w:rsidR="00237552">
              <w:rPr>
                <w:sz w:val="22"/>
                <w:szCs w:val="22"/>
              </w:rPr>
              <w:t xml:space="preserve"> leading to fractures</w:t>
            </w:r>
          </w:p>
        </w:tc>
        <w:tc>
          <w:tcPr>
            <w:tcW w:w="2672" w:type="dxa"/>
          </w:tcPr>
          <w:p w14:paraId="2354BB5A" w14:textId="6A984FD1" w:rsidR="009A442F" w:rsidRPr="000B6756" w:rsidRDefault="009A442F" w:rsidP="00824444">
            <w:pPr>
              <w:rPr>
                <w:sz w:val="22"/>
                <w:szCs w:val="22"/>
              </w:rPr>
            </w:pPr>
            <w:r w:rsidRPr="000B6756">
              <w:rPr>
                <w:sz w:val="22"/>
                <w:szCs w:val="22"/>
              </w:rPr>
              <w:t xml:space="preserve">- Highest pathologic fracture morbidity rate 32.3% in the </w:t>
            </w:r>
            <w:proofErr w:type="gramStart"/>
            <w:r w:rsidRPr="000B6756">
              <w:rPr>
                <w:sz w:val="22"/>
                <w:szCs w:val="22"/>
              </w:rPr>
              <w:t>11-20 year</w:t>
            </w:r>
            <w:proofErr w:type="gramEnd"/>
            <w:r w:rsidRPr="000B6756">
              <w:rPr>
                <w:sz w:val="22"/>
                <w:szCs w:val="22"/>
              </w:rPr>
              <w:t xml:space="preserve"> group, 19 fractures in the 40-50 year group, 17 fractures in the 71-80 group</w:t>
            </w:r>
          </w:p>
          <w:p w14:paraId="6CCA1554" w14:textId="1D17499E" w:rsidR="001236AA" w:rsidRPr="000B6756" w:rsidRDefault="001236AA" w:rsidP="00824444">
            <w:pPr>
              <w:rPr>
                <w:sz w:val="22"/>
                <w:szCs w:val="22"/>
              </w:rPr>
            </w:pPr>
            <w:r w:rsidRPr="000B6756">
              <w:rPr>
                <w:sz w:val="22"/>
                <w:szCs w:val="22"/>
              </w:rPr>
              <w:t xml:space="preserve">- Before fracture occurred </w:t>
            </w:r>
            <w:r w:rsidRPr="00CE15B9">
              <w:rPr>
                <w:b/>
                <w:sz w:val="22"/>
                <w:szCs w:val="22"/>
              </w:rPr>
              <w:t>48.2% had prodromes: 58 patients had pain, 6 had a lump, 2 had soreness and swelling</w:t>
            </w:r>
          </w:p>
          <w:p w14:paraId="774F9372" w14:textId="14DC5E52" w:rsidR="001236AA" w:rsidRPr="000B6756" w:rsidRDefault="001236AA" w:rsidP="00824444">
            <w:pPr>
              <w:rPr>
                <w:sz w:val="22"/>
                <w:szCs w:val="22"/>
              </w:rPr>
            </w:pPr>
            <w:r w:rsidRPr="000B6756">
              <w:rPr>
                <w:sz w:val="22"/>
                <w:szCs w:val="22"/>
              </w:rPr>
              <w:t xml:space="preserve">- </w:t>
            </w:r>
            <w:r w:rsidRPr="00CE15B9">
              <w:rPr>
                <w:b/>
                <w:sz w:val="22"/>
                <w:szCs w:val="22"/>
              </w:rPr>
              <w:t>83.8% of patients had pain at fracture site before injury</w:t>
            </w:r>
          </w:p>
          <w:p w14:paraId="651B2716" w14:textId="2FDB2BFC" w:rsidR="00373270" w:rsidRPr="000B6756" w:rsidRDefault="00373270" w:rsidP="00824444">
            <w:pPr>
              <w:rPr>
                <w:sz w:val="22"/>
                <w:szCs w:val="22"/>
              </w:rPr>
            </w:pPr>
            <w:r w:rsidRPr="000B6756">
              <w:rPr>
                <w:sz w:val="22"/>
                <w:szCs w:val="22"/>
              </w:rPr>
              <w:t>-Osteosarcomas were most common tumors resulting in fractures (72.73%)</w:t>
            </w:r>
          </w:p>
          <w:p w14:paraId="56B8D222" w14:textId="41AFC256" w:rsidR="000812D1" w:rsidRPr="000B6756" w:rsidRDefault="000812D1" w:rsidP="00824444">
            <w:pPr>
              <w:rPr>
                <w:sz w:val="22"/>
                <w:szCs w:val="22"/>
              </w:rPr>
            </w:pPr>
            <w:r w:rsidRPr="000B6756">
              <w:rPr>
                <w:sz w:val="22"/>
                <w:szCs w:val="22"/>
              </w:rPr>
              <w:t>- Limb with lesions had pain or soreness when weightbearing</w:t>
            </w:r>
          </w:p>
        </w:tc>
        <w:tc>
          <w:tcPr>
            <w:tcW w:w="3096" w:type="dxa"/>
          </w:tcPr>
          <w:p w14:paraId="17432512" w14:textId="0E4350E8" w:rsidR="000812D1" w:rsidRPr="00B611DA" w:rsidRDefault="000812D1" w:rsidP="00824444">
            <w:pPr>
              <w:rPr>
                <w:b/>
                <w:sz w:val="22"/>
                <w:szCs w:val="22"/>
              </w:rPr>
            </w:pPr>
            <w:r w:rsidRPr="009C33EF">
              <w:rPr>
                <w:b/>
                <w:sz w:val="22"/>
                <w:szCs w:val="22"/>
              </w:rPr>
              <w:t>Strengths:</w:t>
            </w:r>
            <w:r w:rsidR="00B611DA">
              <w:rPr>
                <w:b/>
                <w:sz w:val="22"/>
                <w:szCs w:val="22"/>
              </w:rPr>
              <w:t xml:space="preserve"> </w:t>
            </w:r>
            <w:r w:rsidR="00B611DA">
              <w:rPr>
                <w:sz w:val="22"/>
                <w:szCs w:val="22"/>
              </w:rPr>
              <w:t xml:space="preserve">large </w:t>
            </w:r>
            <w:r w:rsidRPr="009C33EF">
              <w:rPr>
                <w:sz w:val="22"/>
                <w:szCs w:val="22"/>
              </w:rPr>
              <w:t>sample size</w:t>
            </w:r>
            <w:r w:rsidR="00B611DA">
              <w:rPr>
                <w:sz w:val="22"/>
                <w:szCs w:val="22"/>
              </w:rPr>
              <w:t>, a</w:t>
            </w:r>
            <w:r w:rsidRPr="009C33EF">
              <w:rPr>
                <w:sz w:val="22"/>
                <w:szCs w:val="22"/>
              </w:rPr>
              <w:t>nalyzed large cohort of patients consistently treated</w:t>
            </w:r>
            <w:r w:rsidR="00B611DA">
              <w:rPr>
                <w:sz w:val="22"/>
                <w:szCs w:val="22"/>
              </w:rPr>
              <w:t>, f</w:t>
            </w:r>
            <w:r w:rsidRPr="009C33EF">
              <w:rPr>
                <w:sz w:val="22"/>
                <w:szCs w:val="22"/>
              </w:rPr>
              <w:t>ound new and important information for orthopedic surgeons</w:t>
            </w:r>
          </w:p>
          <w:p w14:paraId="40E891D4" w14:textId="72123DB4" w:rsidR="000812D1" w:rsidRPr="00B611DA" w:rsidRDefault="000812D1" w:rsidP="00824444">
            <w:pPr>
              <w:rPr>
                <w:b/>
                <w:sz w:val="22"/>
                <w:szCs w:val="22"/>
              </w:rPr>
            </w:pPr>
            <w:r w:rsidRPr="009C33EF">
              <w:rPr>
                <w:b/>
                <w:sz w:val="22"/>
                <w:szCs w:val="22"/>
              </w:rPr>
              <w:t>Limitations:</w:t>
            </w:r>
            <w:r w:rsidR="00B611DA">
              <w:rPr>
                <w:b/>
                <w:sz w:val="22"/>
                <w:szCs w:val="22"/>
              </w:rPr>
              <w:t xml:space="preserve"> </w:t>
            </w:r>
            <w:r w:rsidRPr="009C33EF">
              <w:rPr>
                <w:sz w:val="22"/>
                <w:szCs w:val="22"/>
              </w:rPr>
              <w:t>retrospective review of cases from one institution</w:t>
            </w:r>
            <w:r w:rsidR="00B611DA">
              <w:rPr>
                <w:sz w:val="22"/>
                <w:szCs w:val="22"/>
              </w:rPr>
              <w:t>, n</w:t>
            </w:r>
            <w:r w:rsidRPr="009C33EF">
              <w:rPr>
                <w:sz w:val="22"/>
                <w:szCs w:val="22"/>
              </w:rPr>
              <w:t>umber of patients of each type of bone tumor is small and limits ability to draw more credible conclusions</w:t>
            </w:r>
          </w:p>
          <w:p w14:paraId="2BEDA885" w14:textId="5B12C38F" w:rsidR="000812D1" w:rsidRPr="009C33EF" w:rsidRDefault="000812D1" w:rsidP="00824444">
            <w:pPr>
              <w:rPr>
                <w:sz w:val="22"/>
                <w:szCs w:val="22"/>
              </w:rPr>
            </w:pPr>
          </w:p>
        </w:tc>
      </w:tr>
      <w:tr w:rsidR="00B452B0" w14:paraId="41C1BD8F" w14:textId="4804C7CE" w:rsidTr="004864AD">
        <w:tc>
          <w:tcPr>
            <w:tcW w:w="1665" w:type="dxa"/>
          </w:tcPr>
          <w:p w14:paraId="35255BC5" w14:textId="51F8C4F0" w:rsidR="00FF056B" w:rsidRPr="000B6756" w:rsidRDefault="00FF056B" w:rsidP="00FF056B">
            <w:pPr>
              <w:rPr>
                <w:b/>
                <w:sz w:val="22"/>
                <w:szCs w:val="22"/>
              </w:rPr>
            </w:pPr>
            <w:r w:rsidRPr="000B6756">
              <w:rPr>
                <w:b/>
                <w:sz w:val="22"/>
                <w:szCs w:val="22"/>
              </w:rPr>
              <w:t>Author/Year</w:t>
            </w:r>
            <w:r w:rsidR="007B387F" w:rsidRPr="000B6756">
              <w:rPr>
                <w:b/>
                <w:sz w:val="22"/>
                <w:szCs w:val="22"/>
              </w:rPr>
              <w:t>:</w:t>
            </w:r>
            <w:r w:rsidR="007B387F" w:rsidRPr="000B6756">
              <w:rPr>
                <w:b/>
                <w:color w:val="70AD47" w:themeColor="accent6"/>
                <w:sz w:val="22"/>
                <w:szCs w:val="22"/>
              </w:rPr>
              <w:t xml:space="preserve"> </w:t>
            </w:r>
            <w:proofErr w:type="spellStart"/>
            <w:r w:rsidR="007B387F" w:rsidRPr="000B6756">
              <w:rPr>
                <w:sz w:val="22"/>
                <w:szCs w:val="22"/>
              </w:rPr>
              <w:t>Benca</w:t>
            </w:r>
            <w:proofErr w:type="spellEnd"/>
            <w:r w:rsidR="007B387F" w:rsidRPr="000B6756">
              <w:rPr>
                <w:sz w:val="22"/>
                <w:szCs w:val="22"/>
              </w:rPr>
              <w:t>, et. al/ 201</w:t>
            </w:r>
            <w:r w:rsidR="008D3362">
              <w:rPr>
                <w:sz w:val="22"/>
                <w:szCs w:val="22"/>
              </w:rPr>
              <w:t>6</w:t>
            </w:r>
            <w:r w:rsidR="008D3362">
              <w:rPr>
                <w:sz w:val="22"/>
                <w:szCs w:val="22"/>
              </w:rPr>
              <w:fldChar w:fldCharType="begin"/>
            </w:r>
            <w:r w:rsidR="008D3362">
              <w:rPr>
                <w:sz w:val="22"/>
                <w:szCs w:val="22"/>
              </w:rPr>
              <w:instrText>ADDIN F1000_CSL_CITATION&lt;~#@#~&gt;[{"title":"The insufficiencies of risk analysis of impending pathological fractures in patients with femoral metastases: A literature review.","id":"6531841","page":"51-56","type":"article-journal","volume":"5","author":[{"family":"Benca","given":"Emir"},{"family":"Patsch","given":"Janina M"},{"family":"Mayr","given":"Winfried"},{"family":"Pahr","given":"Dieter H"},{"family":"Windhager","given":"Reinhard"}],"issued":{"date-parts":[["2016","12"]]},"container-title":"Bone reports","container-title-short":"Bone Rep.","journalAbbreviation":"Bone Rep.","DOI":"10.1016/j.bonr.2016.02.003","PMID":"28326347","PMCID":"PMC4926839","citation-label":"6531841","Abstract":"&lt;strong&gt;PURPOSE:&lt;/strong&gt; Pathologic fractures in patients with bone metastases are a common problem in clinical orthopaedic routine. On one hand recognition of metastatic lesions, which are at a high risk of fracture, is essential for timely prophylactic fixation, while on the other hand patients with a low risk of pathologic fractures should be spared from overtreatment. The purpose of this review is to identify all methods for fracture risk evaluation in patients with femoral metastases in the literature and to evaluate their predictive values in clinical applications.&lt;br&gt;&lt;br&gt;&lt;strong&gt;METHODS:&lt;/strong&gt; A MEDLINE database literature research was conducted in order to identify clinical scoring systems, conclusions from prospective and retrospective radiologic and/or clinical studies, as well as data from biomechanical experiments, numerical computational methods, and computer simulations.&lt;br&gt;&lt;br&gt;&lt;strong&gt;RESULTS:&lt;/strong&gt; The search identified 441 articles of which 18 articles met the inclusion criteria; 4 more articles were identified from citations of the primarily found studies. In principle there are two distinct methodologies, namely fracture risk prediction factors based on clinical and radiological data such as the most deployed the Mirels' score and fracture risk prediction based on engineering methods. Fracture risk prediction using Mirels' score, based on pure clinical data, shows a negative predictive value between 86 and 100%, but moderate to poor results in predicting non-impending fractures with a positive predictive value between 23 and 70%. Engineering methods provide a high accuracy (correlation coefficient between ex vivo and results from numerical calculations: 0.68 &lt;  r2 &lt;  0.96) in biomechanical lab experiments, but have not been applied to clinical routine yet.&lt;br&gt;&lt;br&gt;&lt;strong&gt;CONCLUSION:&lt;/strong&gt; This review clearly points out a lack of adequate clinical methods for fracture risk prediction in patients with femoral metastases. Today's golden standard, the Mirels' score leads to an overtreatment. Whereas, engineering methods showed high potential but require a clinical validation. In future definition of patient-specific, quantitative risk factor based modelling methods could serve as useful decision support for individualized treatment strategies in patients with a metastatic lesion.","CleanAbstract":"PURPOSE: Pathologic fractures in patients with bone metastases are a common problem in clinical orthopaedic routine. On one hand recognition of metastatic lesions, which are at a high risk of fracture, is essential for timely prophylactic fixation, while on the other hand patients with a low risk of pathologic fractures should be spared from overtreatment. The purpose of this review is to identify all methods for fracture risk evaluation in patients with femoral metastases in the literature and to evaluate their predictive values in clinical applications.METHODS: A MEDLINE database literature research was conducted in order to identify clinical scoring systems, conclusions from prospective and retrospective radiologic and/or clinical studies, as well as data from biomechanical experiments, numerical computational methods, and computer simulations.RESULTS: The search identified 441 articles of which 18 articles met the inclusion criteria; 4 more articles were identified from citations of the primarily found studies. In principle there are two distinct methodologies, namely fracture risk prediction factors based on clinical and radiological data such as the most deployed the Mirels' score and fracture risk prediction based on engineering methods. Fracture risk prediction using Mirels' score, based on pure clinical data, shows a negative predictive value between 86 and 100%, but moderate to poor results in predicting non-impending fractures with a positive predictive value between 23 and 70%. Engineering methods provide a high accuracy (correlation coefficient between ex vivo and results from numerical calculations: 0.68 CONCLUSION: This review clearly points out a lack of adequate clinical methods for fracture risk prediction in patients with femoral metastases. Today's golden standard, the Mirels' score leads to an overtreatment. Whereas, engineering methods showed high potential but require a clinical validation. In future definition of patient-specific, quantitative risk factor based modelling methods could serve as useful decision support for individualized treatment strategies in patients with a metastatic lesion."}]</w:instrText>
            </w:r>
            <w:r w:rsidR="008D3362">
              <w:rPr>
                <w:sz w:val="22"/>
                <w:szCs w:val="22"/>
              </w:rPr>
              <w:fldChar w:fldCharType="separate"/>
            </w:r>
            <w:r w:rsidR="008D3362" w:rsidRPr="008D3362">
              <w:rPr>
                <w:sz w:val="22"/>
                <w:szCs w:val="22"/>
                <w:vertAlign w:val="superscript"/>
              </w:rPr>
              <w:t>2</w:t>
            </w:r>
            <w:r w:rsidR="008D3362">
              <w:rPr>
                <w:sz w:val="22"/>
                <w:szCs w:val="22"/>
              </w:rPr>
              <w:fldChar w:fldCharType="end"/>
            </w:r>
          </w:p>
          <w:p w14:paraId="1EFACC94" w14:textId="403EEA45" w:rsidR="001236AA" w:rsidRPr="000B6756" w:rsidRDefault="00FF056B" w:rsidP="00824444">
            <w:pPr>
              <w:rPr>
                <w:sz w:val="22"/>
                <w:szCs w:val="22"/>
              </w:rPr>
            </w:pPr>
            <w:r w:rsidRPr="000B6756">
              <w:rPr>
                <w:b/>
                <w:sz w:val="22"/>
                <w:szCs w:val="22"/>
              </w:rPr>
              <w:t>Study Design</w:t>
            </w:r>
            <w:r w:rsidR="007B387F" w:rsidRPr="000B6756">
              <w:rPr>
                <w:b/>
                <w:sz w:val="22"/>
                <w:szCs w:val="22"/>
              </w:rPr>
              <w:t xml:space="preserve">: </w:t>
            </w:r>
            <w:r w:rsidR="007B387F" w:rsidRPr="000B6756">
              <w:rPr>
                <w:sz w:val="22"/>
                <w:szCs w:val="22"/>
              </w:rPr>
              <w:t xml:space="preserve">Literature review </w:t>
            </w:r>
          </w:p>
        </w:tc>
        <w:tc>
          <w:tcPr>
            <w:tcW w:w="1563" w:type="dxa"/>
          </w:tcPr>
          <w:p w14:paraId="168709FB" w14:textId="0FC1BB22" w:rsidR="001236AA" w:rsidRPr="000B6756" w:rsidRDefault="001236AA" w:rsidP="00824444">
            <w:pPr>
              <w:rPr>
                <w:sz w:val="22"/>
                <w:szCs w:val="22"/>
              </w:rPr>
            </w:pPr>
            <w:r w:rsidRPr="000B6756">
              <w:rPr>
                <w:sz w:val="22"/>
                <w:szCs w:val="22"/>
              </w:rPr>
              <w:t>Identify all methods for fracture risk evaluation in patients with femoral metastases and their predictive value</w:t>
            </w:r>
          </w:p>
        </w:tc>
        <w:tc>
          <w:tcPr>
            <w:tcW w:w="1763" w:type="dxa"/>
          </w:tcPr>
          <w:p w14:paraId="7F36AE92" w14:textId="693AFBB4" w:rsidR="00BF49A0" w:rsidRPr="000B6756" w:rsidRDefault="002E4318" w:rsidP="00824444">
            <w:pPr>
              <w:rPr>
                <w:sz w:val="22"/>
                <w:szCs w:val="22"/>
              </w:rPr>
            </w:pPr>
            <w:r w:rsidRPr="000B6756">
              <w:rPr>
                <w:sz w:val="22"/>
                <w:szCs w:val="22"/>
              </w:rPr>
              <w:t>- 18 articles were included</w:t>
            </w:r>
            <w:r w:rsidR="00672278">
              <w:rPr>
                <w:sz w:val="22"/>
                <w:szCs w:val="22"/>
              </w:rPr>
              <w:t xml:space="preserve">: </w:t>
            </w:r>
            <w:r w:rsidR="00413FDA">
              <w:rPr>
                <w:sz w:val="22"/>
                <w:szCs w:val="22"/>
              </w:rPr>
              <w:t>prospective</w:t>
            </w:r>
            <w:r w:rsidR="00BF49A0" w:rsidRPr="000B6756">
              <w:rPr>
                <w:sz w:val="22"/>
                <w:szCs w:val="22"/>
              </w:rPr>
              <w:t xml:space="preserve"> and retrospective clinical and/or radiological data, studies on engineering methods in </w:t>
            </w:r>
            <w:r w:rsidR="00BF49A0" w:rsidRPr="000B6756">
              <w:rPr>
                <w:sz w:val="22"/>
                <w:szCs w:val="22"/>
              </w:rPr>
              <w:lastRenderedPageBreak/>
              <w:t>fracture risk assessment, biomechanical studies conducted on human, animal, or artificial bone</w:t>
            </w:r>
          </w:p>
          <w:p w14:paraId="5596AF35" w14:textId="41E5031C" w:rsidR="00BF49A0" w:rsidRPr="000B6756" w:rsidRDefault="00BF49A0" w:rsidP="00824444">
            <w:pPr>
              <w:rPr>
                <w:sz w:val="22"/>
                <w:szCs w:val="22"/>
              </w:rPr>
            </w:pPr>
          </w:p>
        </w:tc>
        <w:tc>
          <w:tcPr>
            <w:tcW w:w="2191" w:type="dxa"/>
          </w:tcPr>
          <w:p w14:paraId="4F55271C" w14:textId="77777777" w:rsidR="001236AA" w:rsidRDefault="000C6873" w:rsidP="00824444">
            <w:pPr>
              <w:rPr>
                <w:sz w:val="22"/>
                <w:szCs w:val="22"/>
              </w:rPr>
            </w:pPr>
            <w:r w:rsidRPr="000B6756">
              <w:rPr>
                <w:sz w:val="22"/>
                <w:szCs w:val="22"/>
              </w:rPr>
              <w:lastRenderedPageBreak/>
              <w:t xml:space="preserve">- Two independent reviewers reviewed all abstracts of the articles </w:t>
            </w:r>
          </w:p>
          <w:p w14:paraId="377A8D4A" w14:textId="16A6ED4F" w:rsidR="009B0748" w:rsidRPr="000B6756" w:rsidRDefault="009B0748" w:rsidP="00824444">
            <w:pPr>
              <w:rPr>
                <w:sz w:val="22"/>
                <w:szCs w:val="22"/>
              </w:rPr>
            </w:pPr>
            <w:r>
              <w:rPr>
                <w:sz w:val="22"/>
                <w:szCs w:val="22"/>
              </w:rPr>
              <w:t xml:space="preserve">- </w:t>
            </w:r>
            <w:proofErr w:type="spellStart"/>
            <w:r>
              <w:rPr>
                <w:sz w:val="22"/>
                <w:szCs w:val="22"/>
              </w:rPr>
              <w:t>Mirels</w:t>
            </w:r>
            <w:proofErr w:type="spellEnd"/>
            <w:r>
              <w:rPr>
                <w:sz w:val="22"/>
                <w:szCs w:val="22"/>
              </w:rPr>
              <w:t>’ scoring system of 1989</w:t>
            </w:r>
          </w:p>
        </w:tc>
        <w:tc>
          <w:tcPr>
            <w:tcW w:w="2672" w:type="dxa"/>
          </w:tcPr>
          <w:p w14:paraId="19657917" w14:textId="505A3756" w:rsidR="001236AA" w:rsidRPr="000B6756" w:rsidRDefault="001236AA" w:rsidP="00824444">
            <w:pPr>
              <w:rPr>
                <w:sz w:val="22"/>
                <w:szCs w:val="22"/>
              </w:rPr>
            </w:pPr>
            <w:r w:rsidRPr="000B6756">
              <w:rPr>
                <w:sz w:val="22"/>
                <w:szCs w:val="22"/>
              </w:rPr>
              <w:t xml:space="preserve">- Currently </w:t>
            </w:r>
            <w:r w:rsidRPr="00D66B95">
              <w:rPr>
                <w:b/>
                <w:sz w:val="22"/>
                <w:szCs w:val="22"/>
              </w:rPr>
              <w:t>lack adequate clinical methods for fracture risk prediction</w:t>
            </w:r>
            <w:r w:rsidRPr="000B6756">
              <w:rPr>
                <w:sz w:val="22"/>
                <w:szCs w:val="22"/>
              </w:rPr>
              <w:t xml:space="preserve"> in patients with femoral met</w:t>
            </w:r>
            <w:r w:rsidR="000C6873" w:rsidRPr="000B6756">
              <w:rPr>
                <w:sz w:val="22"/>
                <w:szCs w:val="22"/>
              </w:rPr>
              <w:t>astases</w:t>
            </w:r>
          </w:p>
          <w:p w14:paraId="242F3ADE" w14:textId="20121572" w:rsidR="001236AA" w:rsidRPr="000B6756" w:rsidRDefault="001236AA" w:rsidP="00824444">
            <w:pPr>
              <w:rPr>
                <w:sz w:val="22"/>
                <w:szCs w:val="22"/>
              </w:rPr>
            </w:pPr>
            <w:r w:rsidRPr="000B6756">
              <w:rPr>
                <w:sz w:val="22"/>
                <w:szCs w:val="22"/>
              </w:rPr>
              <w:t xml:space="preserve">- </w:t>
            </w:r>
            <w:r w:rsidRPr="00D66B95">
              <w:rPr>
                <w:b/>
                <w:sz w:val="22"/>
                <w:szCs w:val="22"/>
              </w:rPr>
              <w:t>Golden standard used today</w:t>
            </w:r>
            <w:r w:rsidR="00823F68" w:rsidRPr="00D66B95">
              <w:rPr>
                <w:b/>
                <w:sz w:val="22"/>
                <w:szCs w:val="22"/>
              </w:rPr>
              <w:t xml:space="preserve"> to predict impending fractures</w:t>
            </w:r>
            <w:r w:rsidRPr="00D66B95">
              <w:rPr>
                <w:b/>
                <w:sz w:val="22"/>
                <w:szCs w:val="22"/>
              </w:rPr>
              <w:t xml:space="preserve">- </w:t>
            </w:r>
            <w:proofErr w:type="spellStart"/>
            <w:r w:rsidRPr="00D66B95">
              <w:rPr>
                <w:b/>
                <w:sz w:val="22"/>
                <w:szCs w:val="22"/>
              </w:rPr>
              <w:t>Mirels</w:t>
            </w:r>
            <w:proofErr w:type="spellEnd"/>
            <w:r w:rsidRPr="00D66B95">
              <w:rPr>
                <w:b/>
                <w:sz w:val="22"/>
                <w:szCs w:val="22"/>
              </w:rPr>
              <w:t xml:space="preserve">’ score on scoring </w:t>
            </w:r>
            <w:r w:rsidRPr="00D66B95">
              <w:rPr>
                <w:b/>
                <w:sz w:val="22"/>
                <w:szCs w:val="22"/>
              </w:rPr>
              <w:lastRenderedPageBreak/>
              <w:t>system of 1989</w:t>
            </w:r>
            <w:r w:rsidRPr="000B6756">
              <w:rPr>
                <w:sz w:val="22"/>
                <w:szCs w:val="22"/>
              </w:rPr>
              <w:t xml:space="preserve"> but leads to overtreatment</w:t>
            </w:r>
            <w:r w:rsidR="00823F68" w:rsidRPr="000B6756">
              <w:rPr>
                <w:sz w:val="22"/>
                <w:szCs w:val="22"/>
              </w:rPr>
              <w:t xml:space="preserve"> and fails to recognize non-impending fractures</w:t>
            </w:r>
          </w:p>
          <w:p w14:paraId="61DACD5A" w14:textId="33C31CDE" w:rsidR="001236AA" w:rsidRPr="000B6756" w:rsidRDefault="001236AA" w:rsidP="00824444">
            <w:pPr>
              <w:rPr>
                <w:sz w:val="22"/>
                <w:szCs w:val="22"/>
              </w:rPr>
            </w:pPr>
            <w:r w:rsidRPr="000B6756">
              <w:rPr>
                <w:sz w:val="22"/>
                <w:szCs w:val="22"/>
              </w:rPr>
              <w:t xml:space="preserve">- Engineering methods </w:t>
            </w:r>
            <w:r w:rsidR="00823F68" w:rsidRPr="000B6756">
              <w:rPr>
                <w:sz w:val="22"/>
                <w:szCs w:val="22"/>
              </w:rPr>
              <w:t>provide high accuracy</w:t>
            </w:r>
            <w:r w:rsidRPr="000B6756">
              <w:rPr>
                <w:sz w:val="22"/>
                <w:szCs w:val="22"/>
              </w:rPr>
              <w:t xml:space="preserve"> but need clinical validation</w:t>
            </w:r>
            <w:r w:rsidR="00823F68" w:rsidRPr="000B6756">
              <w:rPr>
                <w:sz w:val="22"/>
                <w:szCs w:val="22"/>
              </w:rPr>
              <w:t xml:space="preserve"> and are difficult to adapt to the variable physiological and pathophysiological conditions found in clinical routine</w:t>
            </w:r>
          </w:p>
          <w:p w14:paraId="4089F411" w14:textId="77777777" w:rsidR="001236AA" w:rsidRPr="000B6756" w:rsidRDefault="001236AA" w:rsidP="00824444">
            <w:pPr>
              <w:rPr>
                <w:sz w:val="22"/>
                <w:szCs w:val="22"/>
              </w:rPr>
            </w:pPr>
            <w:r w:rsidRPr="000B6756">
              <w:rPr>
                <w:sz w:val="22"/>
                <w:szCs w:val="22"/>
              </w:rPr>
              <w:t>-Lytic lesions have highest impact on bone strength increasing fracture risk</w:t>
            </w:r>
          </w:p>
          <w:p w14:paraId="26073729" w14:textId="77777777" w:rsidR="001236AA" w:rsidRPr="000B6756" w:rsidRDefault="001236AA" w:rsidP="00824444">
            <w:pPr>
              <w:rPr>
                <w:sz w:val="22"/>
                <w:szCs w:val="22"/>
              </w:rPr>
            </w:pPr>
            <w:r w:rsidRPr="000B6756">
              <w:rPr>
                <w:sz w:val="22"/>
                <w:szCs w:val="22"/>
              </w:rPr>
              <w:t>-</w:t>
            </w:r>
            <w:r w:rsidRPr="00D66B95">
              <w:rPr>
                <w:b/>
                <w:sz w:val="22"/>
                <w:szCs w:val="22"/>
              </w:rPr>
              <w:t>Cortical involvement of 50-75% in metastatic long bones and especially over 75% or cortex and likely to fracture</w:t>
            </w:r>
          </w:p>
          <w:p w14:paraId="0F6FE049" w14:textId="2C971B2F" w:rsidR="00823F68" w:rsidRPr="000B6756" w:rsidRDefault="001236AA" w:rsidP="00824444">
            <w:pPr>
              <w:rPr>
                <w:sz w:val="22"/>
                <w:szCs w:val="22"/>
              </w:rPr>
            </w:pPr>
            <w:r w:rsidRPr="000B6756">
              <w:rPr>
                <w:sz w:val="22"/>
                <w:szCs w:val="22"/>
              </w:rPr>
              <w:t>-</w:t>
            </w:r>
            <w:r w:rsidRPr="00D66B95">
              <w:rPr>
                <w:b/>
                <w:sz w:val="22"/>
                <w:szCs w:val="22"/>
              </w:rPr>
              <w:t>Increasing local pain indicator for lesion with growing fracture risk</w:t>
            </w:r>
            <w:r w:rsidRPr="000B6756">
              <w:rPr>
                <w:sz w:val="22"/>
                <w:szCs w:val="22"/>
              </w:rPr>
              <w:t xml:space="preserve"> </w:t>
            </w:r>
          </w:p>
        </w:tc>
        <w:tc>
          <w:tcPr>
            <w:tcW w:w="3096" w:type="dxa"/>
          </w:tcPr>
          <w:p w14:paraId="2E2DF27E" w14:textId="3FC9299A" w:rsidR="001236AA" w:rsidRPr="00D66B95" w:rsidRDefault="009B0748" w:rsidP="00824444">
            <w:pPr>
              <w:rPr>
                <w:sz w:val="22"/>
                <w:szCs w:val="22"/>
              </w:rPr>
            </w:pPr>
            <w:r w:rsidRPr="009C33EF">
              <w:rPr>
                <w:b/>
                <w:sz w:val="22"/>
                <w:szCs w:val="22"/>
              </w:rPr>
              <w:lastRenderedPageBreak/>
              <w:t>Strengths:</w:t>
            </w:r>
            <w:r w:rsidR="00B911D8" w:rsidRPr="009C33EF">
              <w:rPr>
                <w:b/>
                <w:sz w:val="22"/>
                <w:szCs w:val="22"/>
              </w:rPr>
              <w:t xml:space="preserve"> </w:t>
            </w:r>
            <w:r w:rsidR="00D66B95">
              <w:rPr>
                <w:sz w:val="22"/>
                <w:szCs w:val="22"/>
              </w:rPr>
              <w:t>large sample size,</w:t>
            </w:r>
            <w:r w:rsidR="00B12276">
              <w:rPr>
                <w:sz w:val="22"/>
                <w:szCs w:val="22"/>
              </w:rPr>
              <w:t xml:space="preserve"> compared golden standard with fracture risk prediction based on</w:t>
            </w:r>
            <w:r w:rsidR="004C4D60">
              <w:rPr>
                <w:sz w:val="22"/>
                <w:szCs w:val="22"/>
              </w:rPr>
              <w:t xml:space="preserve"> engineering methods</w:t>
            </w:r>
            <w:r w:rsidR="00B12276">
              <w:rPr>
                <w:sz w:val="22"/>
                <w:szCs w:val="22"/>
              </w:rPr>
              <w:t>,</w:t>
            </w:r>
            <w:r w:rsidR="00DE1AA7">
              <w:rPr>
                <w:sz w:val="22"/>
                <w:szCs w:val="22"/>
              </w:rPr>
              <w:t xml:space="preserve"> acknowledges the lack of a gold standard method</w:t>
            </w:r>
            <w:r w:rsidR="00D66B95">
              <w:rPr>
                <w:sz w:val="22"/>
                <w:szCs w:val="22"/>
              </w:rPr>
              <w:t xml:space="preserve"> </w:t>
            </w:r>
          </w:p>
          <w:p w14:paraId="7A720F96" w14:textId="0FBE011C" w:rsidR="009B0748" w:rsidRPr="00B12276" w:rsidRDefault="009B0748" w:rsidP="00824444">
            <w:pPr>
              <w:rPr>
                <w:sz w:val="22"/>
                <w:szCs w:val="22"/>
              </w:rPr>
            </w:pPr>
            <w:r w:rsidRPr="009C33EF">
              <w:rPr>
                <w:b/>
                <w:sz w:val="22"/>
                <w:szCs w:val="22"/>
              </w:rPr>
              <w:t>Limitations:</w:t>
            </w:r>
            <w:r w:rsidR="00B911D8" w:rsidRPr="009C33EF">
              <w:rPr>
                <w:b/>
                <w:sz w:val="22"/>
                <w:szCs w:val="22"/>
              </w:rPr>
              <w:t xml:space="preserve"> </w:t>
            </w:r>
            <w:r w:rsidR="00B12276">
              <w:rPr>
                <w:sz w:val="22"/>
                <w:szCs w:val="22"/>
              </w:rPr>
              <w:t>lower quality evidence used, no control or experimental groups,</w:t>
            </w:r>
            <w:r w:rsidR="004C4D60">
              <w:rPr>
                <w:sz w:val="22"/>
                <w:szCs w:val="22"/>
              </w:rPr>
              <w:t xml:space="preserve"> studies </w:t>
            </w:r>
            <w:r w:rsidR="004C4D60">
              <w:rPr>
                <w:sz w:val="22"/>
                <w:szCs w:val="22"/>
              </w:rPr>
              <w:lastRenderedPageBreak/>
              <w:t>used were over 10 years old</w:t>
            </w:r>
            <w:r w:rsidR="00B50022">
              <w:rPr>
                <w:sz w:val="22"/>
                <w:szCs w:val="22"/>
              </w:rPr>
              <w:t xml:space="preserve">, some articles </w:t>
            </w:r>
            <w:r w:rsidR="00DE1AA7">
              <w:rPr>
                <w:sz w:val="22"/>
                <w:szCs w:val="22"/>
              </w:rPr>
              <w:t xml:space="preserve">did not have </w:t>
            </w:r>
            <w:proofErr w:type="gramStart"/>
            <w:r w:rsidR="00DE1AA7">
              <w:rPr>
                <w:sz w:val="22"/>
                <w:szCs w:val="22"/>
              </w:rPr>
              <w:t>sufficient</w:t>
            </w:r>
            <w:proofErr w:type="gramEnd"/>
            <w:r w:rsidR="00DE1AA7">
              <w:rPr>
                <w:sz w:val="22"/>
                <w:szCs w:val="22"/>
              </w:rPr>
              <w:t xml:space="preserve"> validity but were included</w:t>
            </w:r>
          </w:p>
        </w:tc>
      </w:tr>
      <w:tr w:rsidR="00B452B0" w14:paraId="5E8FAD4B" w14:textId="04CCE0F6" w:rsidTr="004864AD">
        <w:tc>
          <w:tcPr>
            <w:tcW w:w="1665" w:type="dxa"/>
          </w:tcPr>
          <w:p w14:paraId="49061D6B" w14:textId="7C1D8BFA" w:rsidR="00FF056B" w:rsidRPr="000B6756" w:rsidRDefault="00FF056B" w:rsidP="00FF056B">
            <w:pPr>
              <w:rPr>
                <w:sz w:val="22"/>
                <w:szCs w:val="22"/>
              </w:rPr>
            </w:pPr>
            <w:r w:rsidRPr="000B6756">
              <w:rPr>
                <w:b/>
                <w:sz w:val="22"/>
                <w:szCs w:val="22"/>
              </w:rPr>
              <w:lastRenderedPageBreak/>
              <w:t>Author/Year</w:t>
            </w:r>
            <w:r w:rsidR="00CB1F9C" w:rsidRPr="000B6756">
              <w:rPr>
                <w:b/>
                <w:sz w:val="22"/>
                <w:szCs w:val="22"/>
              </w:rPr>
              <w:t xml:space="preserve">: </w:t>
            </w:r>
            <w:proofErr w:type="spellStart"/>
            <w:r w:rsidR="00CB1F9C" w:rsidRPr="000B6756">
              <w:rPr>
                <w:sz w:val="22"/>
                <w:szCs w:val="22"/>
              </w:rPr>
              <w:t>Mirels</w:t>
            </w:r>
            <w:proofErr w:type="spellEnd"/>
            <w:r w:rsidR="00CB1F9C" w:rsidRPr="000B6756">
              <w:rPr>
                <w:sz w:val="22"/>
                <w:szCs w:val="22"/>
              </w:rPr>
              <w:t>, et. al./ 2003</w:t>
            </w:r>
            <w:r w:rsidR="008D3362">
              <w:rPr>
                <w:sz w:val="22"/>
                <w:szCs w:val="22"/>
              </w:rPr>
              <w:fldChar w:fldCharType="begin"/>
            </w:r>
            <w:r w:rsidR="008D3362">
              <w:rPr>
                <w:sz w:val="22"/>
                <w:szCs w:val="22"/>
              </w:rPr>
              <w:instrText>ADDIN F1000_CSL_CITATION&lt;~#@#~&gt;[{"title":"Metastatic Disease in Long Bones A Proposed Scoring System for Diagnosing Impending Pathologic Fractures","id":"6531896","page":"S4-S13","type":"article-journal","volume":"415S","author":[{"family":"Mirels","given":"Hilton"}],"issued":{"date-parts":[["2003"]]},"container-title":"Clinical Orthopaedics and Related Research","container-title-short":"Clin Orthop Relat Res","journalAbbreviation":"Clin Orthop Relat Res","citation-label":"6531896"}]</w:instrText>
            </w:r>
            <w:r w:rsidR="008D3362">
              <w:rPr>
                <w:sz w:val="22"/>
                <w:szCs w:val="22"/>
              </w:rPr>
              <w:fldChar w:fldCharType="separate"/>
            </w:r>
            <w:r w:rsidR="008D3362" w:rsidRPr="008D3362">
              <w:rPr>
                <w:sz w:val="22"/>
                <w:szCs w:val="22"/>
                <w:vertAlign w:val="superscript"/>
              </w:rPr>
              <w:t>3</w:t>
            </w:r>
            <w:r w:rsidR="008D3362">
              <w:rPr>
                <w:sz w:val="22"/>
                <w:szCs w:val="22"/>
              </w:rPr>
              <w:fldChar w:fldCharType="end"/>
            </w:r>
          </w:p>
          <w:p w14:paraId="4091EA6B" w14:textId="75EB1C9B" w:rsidR="001236AA" w:rsidRPr="000B6756" w:rsidRDefault="00FF056B" w:rsidP="00824444">
            <w:pPr>
              <w:rPr>
                <w:sz w:val="22"/>
                <w:szCs w:val="22"/>
              </w:rPr>
            </w:pPr>
            <w:r w:rsidRPr="000B6756">
              <w:rPr>
                <w:b/>
                <w:sz w:val="22"/>
                <w:szCs w:val="22"/>
              </w:rPr>
              <w:t>Study Design</w:t>
            </w:r>
            <w:r w:rsidR="00CB1F9C" w:rsidRPr="000B6756">
              <w:rPr>
                <w:b/>
                <w:sz w:val="22"/>
                <w:szCs w:val="22"/>
              </w:rPr>
              <w:t xml:space="preserve">: </w:t>
            </w:r>
            <w:r w:rsidR="00CB1F9C" w:rsidRPr="000B6756">
              <w:rPr>
                <w:sz w:val="22"/>
                <w:szCs w:val="22"/>
              </w:rPr>
              <w:t>Retrospective analysis</w:t>
            </w:r>
          </w:p>
        </w:tc>
        <w:tc>
          <w:tcPr>
            <w:tcW w:w="1563" w:type="dxa"/>
          </w:tcPr>
          <w:p w14:paraId="38DAF20C" w14:textId="23038662" w:rsidR="001236AA" w:rsidRPr="000B6756" w:rsidRDefault="001236AA" w:rsidP="00824444">
            <w:pPr>
              <w:rPr>
                <w:sz w:val="22"/>
                <w:szCs w:val="22"/>
              </w:rPr>
            </w:pPr>
            <w:r w:rsidRPr="000B6756">
              <w:rPr>
                <w:sz w:val="22"/>
                <w:szCs w:val="22"/>
              </w:rPr>
              <w:t xml:space="preserve">Compare accuracy of </w:t>
            </w:r>
            <w:proofErr w:type="spellStart"/>
            <w:r w:rsidRPr="000B6756">
              <w:rPr>
                <w:sz w:val="22"/>
                <w:szCs w:val="22"/>
              </w:rPr>
              <w:t>Mirels</w:t>
            </w:r>
            <w:proofErr w:type="spellEnd"/>
            <w:r w:rsidRPr="000B6756">
              <w:rPr>
                <w:sz w:val="22"/>
                <w:szCs w:val="22"/>
              </w:rPr>
              <w:t>’ scoring system to individual risk factors that may be useful in predicting impeding pathologic fractures</w:t>
            </w:r>
          </w:p>
        </w:tc>
        <w:tc>
          <w:tcPr>
            <w:tcW w:w="1763" w:type="dxa"/>
          </w:tcPr>
          <w:p w14:paraId="29843873" w14:textId="40CD779B" w:rsidR="001236AA" w:rsidRPr="000B6756" w:rsidRDefault="00556CFC" w:rsidP="00824444">
            <w:pPr>
              <w:rPr>
                <w:sz w:val="22"/>
                <w:szCs w:val="22"/>
              </w:rPr>
            </w:pPr>
            <w:r w:rsidRPr="000B6756">
              <w:rPr>
                <w:sz w:val="22"/>
                <w:szCs w:val="22"/>
              </w:rPr>
              <w:t>38 patients who had metastatic bone lesions</w:t>
            </w:r>
            <w:r w:rsidR="00107D2E">
              <w:rPr>
                <w:sz w:val="22"/>
                <w:szCs w:val="22"/>
              </w:rPr>
              <w:t xml:space="preserve"> with no fracture or history of fracture</w:t>
            </w:r>
            <w:r w:rsidRPr="000B6756">
              <w:rPr>
                <w:sz w:val="22"/>
                <w:szCs w:val="22"/>
              </w:rPr>
              <w:t xml:space="preserve"> </w:t>
            </w:r>
            <w:r w:rsidR="00CB436F">
              <w:rPr>
                <w:sz w:val="22"/>
                <w:szCs w:val="22"/>
              </w:rPr>
              <w:t>and no previous irradiation to the bone</w:t>
            </w:r>
          </w:p>
          <w:p w14:paraId="68AEAB35" w14:textId="77777777" w:rsidR="008C5CD9" w:rsidRPr="000B6756" w:rsidRDefault="008C5CD9" w:rsidP="00824444">
            <w:pPr>
              <w:rPr>
                <w:sz w:val="22"/>
                <w:szCs w:val="22"/>
              </w:rPr>
            </w:pPr>
          </w:p>
          <w:p w14:paraId="428494C5" w14:textId="25723F57" w:rsidR="008C5CD9" w:rsidRPr="000B6756" w:rsidRDefault="008C5CD9" w:rsidP="00824444">
            <w:pPr>
              <w:rPr>
                <w:sz w:val="22"/>
                <w:szCs w:val="22"/>
              </w:rPr>
            </w:pPr>
          </w:p>
        </w:tc>
        <w:tc>
          <w:tcPr>
            <w:tcW w:w="2191" w:type="dxa"/>
          </w:tcPr>
          <w:p w14:paraId="1F307DA4" w14:textId="77777777" w:rsidR="001236AA" w:rsidRPr="000B6756" w:rsidRDefault="008C5CD9" w:rsidP="00824444">
            <w:pPr>
              <w:rPr>
                <w:sz w:val="22"/>
                <w:szCs w:val="22"/>
              </w:rPr>
            </w:pPr>
            <w:r w:rsidRPr="000B6756">
              <w:rPr>
                <w:sz w:val="22"/>
                <w:szCs w:val="22"/>
              </w:rPr>
              <w:t xml:space="preserve">Scoring of the </w:t>
            </w:r>
            <w:proofErr w:type="spellStart"/>
            <w:r w:rsidRPr="000B6756">
              <w:rPr>
                <w:sz w:val="22"/>
                <w:szCs w:val="22"/>
              </w:rPr>
              <w:t>preirradiation</w:t>
            </w:r>
            <w:proofErr w:type="spellEnd"/>
            <w:r w:rsidRPr="000B6756">
              <w:rPr>
                <w:sz w:val="22"/>
                <w:szCs w:val="22"/>
              </w:rPr>
              <w:t xml:space="preserve"> roentgenograms was done separately by 3 consultant orthopedic surgeons according to </w:t>
            </w:r>
            <w:proofErr w:type="spellStart"/>
            <w:r w:rsidRPr="000B6756">
              <w:rPr>
                <w:sz w:val="22"/>
                <w:szCs w:val="22"/>
              </w:rPr>
              <w:t>Mirel’s</w:t>
            </w:r>
            <w:proofErr w:type="spellEnd"/>
            <w:r w:rsidRPr="000B6756">
              <w:rPr>
                <w:sz w:val="22"/>
                <w:szCs w:val="22"/>
              </w:rPr>
              <w:t xml:space="preserve"> scoring system</w:t>
            </w:r>
          </w:p>
          <w:p w14:paraId="3C22D782" w14:textId="0C32ABA8" w:rsidR="00881D77" w:rsidRPr="000B6756" w:rsidRDefault="00881D77" w:rsidP="00824444">
            <w:pPr>
              <w:rPr>
                <w:sz w:val="22"/>
                <w:szCs w:val="22"/>
              </w:rPr>
            </w:pPr>
          </w:p>
        </w:tc>
        <w:tc>
          <w:tcPr>
            <w:tcW w:w="2672" w:type="dxa"/>
          </w:tcPr>
          <w:p w14:paraId="57CDD48D" w14:textId="0D2547CC" w:rsidR="0017625A" w:rsidRPr="000B6756" w:rsidRDefault="0017625A" w:rsidP="00824444">
            <w:pPr>
              <w:rPr>
                <w:sz w:val="22"/>
                <w:szCs w:val="22"/>
              </w:rPr>
            </w:pPr>
            <w:r w:rsidRPr="000B6756">
              <w:rPr>
                <w:sz w:val="22"/>
                <w:szCs w:val="22"/>
              </w:rPr>
              <w:t>- 35% of the lesions sampled fractured within a period of 6 months</w:t>
            </w:r>
          </w:p>
          <w:p w14:paraId="3196198E" w14:textId="66498064" w:rsidR="0017625A" w:rsidRPr="000B6756" w:rsidRDefault="0017625A" w:rsidP="00824444">
            <w:pPr>
              <w:rPr>
                <w:sz w:val="22"/>
                <w:szCs w:val="22"/>
              </w:rPr>
            </w:pPr>
            <w:r w:rsidRPr="000B6756">
              <w:rPr>
                <w:sz w:val="22"/>
                <w:szCs w:val="22"/>
              </w:rPr>
              <w:t>- Scores within the fracture group ranged from 7 to 12</w:t>
            </w:r>
          </w:p>
          <w:p w14:paraId="7EE0FD12" w14:textId="00E601EC" w:rsidR="001236AA" w:rsidRPr="000B6756" w:rsidRDefault="001236AA" w:rsidP="00824444">
            <w:pPr>
              <w:rPr>
                <w:sz w:val="22"/>
                <w:szCs w:val="22"/>
              </w:rPr>
            </w:pPr>
            <w:r w:rsidRPr="000B6756">
              <w:rPr>
                <w:sz w:val="22"/>
                <w:szCs w:val="22"/>
              </w:rPr>
              <w:t xml:space="preserve">- </w:t>
            </w:r>
            <w:r w:rsidRPr="00A53848">
              <w:rPr>
                <w:b/>
                <w:sz w:val="22"/>
                <w:szCs w:val="22"/>
              </w:rPr>
              <w:t>Most accurate score for diagnosing an impending fracture using this classification system is 9</w:t>
            </w:r>
            <w:r w:rsidR="0017625A" w:rsidRPr="000B6756">
              <w:rPr>
                <w:sz w:val="22"/>
                <w:szCs w:val="22"/>
              </w:rPr>
              <w:t>:</w:t>
            </w:r>
            <w:r w:rsidRPr="000B6756">
              <w:rPr>
                <w:sz w:val="22"/>
                <w:szCs w:val="22"/>
              </w:rPr>
              <w:t xml:space="preserve"> chance of fracture is 33% and false positive is 0%; score of 8</w:t>
            </w:r>
            <w:r w:rsidR="0017625A" w:rsidRPr="000B6756">
              <w:rPr>
                <w:sz w:val="22"/>
                <w:szCs w:val="22"/>
              </w:rPr>
              <w:t xml:space="preserve">: </w:t>
            </w:r>
            <w:r w:rsidRPr="000B6756">
              <w:rPr>
                <w:sz w:val="22"/>
                <w:szCs w:val="22"/>
              </w:rPr>
              <w:t xml:space="preserve">suggestive, </w:t>
            </w:r>
            <w:r w:rsidRPr="000B6756">
              <w:rPr>
                <w:sz w:val="22"/>
                <w:szCs w:val="22"/>
              </w:rPr>
              <w:lastRenderedPageBreak/>
              <w:t>probability of fracture 15%</w:t>
            </w:r>
            <w:r w:rsidR="0017625A" w:rsidRPr="000B6756">
              <w:rPr>
                <w:sz w:val="22"/>
                <w:szCs w:val="22"/>
              </w:rPr>
              <w:t xml:space="preserve">, false positive is 6%, </w:t>
            </w:r>
          </w:p>
          <w:p w14:paraId="298AB8D1" w14:textId="1AD120AD" w:rsidR="001236AA" w:rsidRPr="000B6756" w:rsidRDefault="001236AA" w:rsidP="00824444">
            <w:pPr>
              <w:rPr>
                <w:sz w:val="22"/>
                <w:szCs w:val="22"/>
              </w:rPr>
            </w:pPr>
            <w:r w:rsidRPr="000B6756">
              <w:rPr>
                <w:sz w:val="22"/>
                <w:szCs w:val="22"/>
              </w:rPr>
              <w:t xml:space="preserve">- </w:t>
            </w:r>
            <w:r w:rsidRPr="000D6E21">
              <w:rPr>
                <w:b/>
                <w:sz w:val="22"/>
                <w:szCs w:val="22"/>
              </w:rPr>
              <w:t>All patients in study in which pain aggravated by function ended up with a fracture</w:t>
            </w:r>
            <w:r w:rsidR="0017625A" w:rsidRPr="000B6756">
              <w:rPr>
                <w:sz w:val="22"/>
                <w:szCs w:val="22"/>
              </w:rPr>
              <w:t xml:space="preserve"> (p=0.0001)</w:t>
            </w:r>
          </w:p>
          <w:p w14:paraId="28D9F2D1" w14:textId="69E23E3C" w:rsidR="00EB4133" w:rsidRPr="000B6756" w:rsidRDefault="00EB4133" w:rsidP="00824444">
            <w:pPr>
              <w:rPr>
                <w:sz w:val="22"/>
                <w:szCs w:val="22"/>
              </w:rPr>
            </w:pPr>
            <w:r w:rsidRPr="000B6756">
              <w:rPr>
                <w:sz w:val="22"/>
                <w:szCs w:val="22"/>
              </w:rPr>
              <w:t>- Probability of a fracture in a patient with nonfunctional pain is 10%</w:t>
            </w:r>
          </w:p>
          <w:p w14:paraId="4A33A73F" w14:textId="74D762A6" w:rsidR="0088762F" w:rsidRPr="0088762F" w:rsidRDefault="001236AA" w:rsidP="00824444">
            <w:pPr>
              <w:rPr>
                <w:b/>
                <w:sz w:val="22"/>
                <w:szCs w:val="22"/>
              </w:rPr>
            </w:pPr>
            <w:r w:rsidRPr="000B6756">
              <w:rPr>
                <w:sz w:val="22"/>
                <w:szCs w:val="22"/>
              </w:rPr>
              <w:t xml:space="preserve">- Correlation between pain aggravated by function and size of the lesion: </w:t>
            </w:r>
            <w:r w:rsidRPr="000D6E21">
              <w:rPr>
                <w:b/>
                <w:sz w:val="22"/>
                <w:szCs w:val="22"/>
              </w:rPr>
              <w:t>90% of patients had lesion occupying more than 2/3 diameter of bone</w:t>
            </w:r>
          </w:p>
        </w:tc>
        <w:tc>
          <w:tcPr>
            <w:tcW w:w="3096" w:type="dxa"/>
          </w:tcPr>
          <w:p w14:paraId="69D2CF79" w14:textId="43131F1F" w:rsidR="009C33EF" w:rsidRPr="00960689" w:rsidRDefault="009C33EF" w:rsidP="00824444">
            <w:pPr>
              <w:rPr>
                <w:sz w:val="22"/>
                <w:szCs w:val="22"/>
              </w:rPr>
            </w:pPr>
            <w:r>
              <w:rPr>
                <w:b/>
                <w:sz w:val="22"/>
                <w:szCs w:val="22"/>
              </w:rPr>
              <w:lastRenderedPageBreak/>
              <w:t>Strengths:</w:t>
            </w:r>
            <w:r w:rsidR="0058135E">
              <w:rPr>
                <w:b/>
                <w:sz w:val="22"/>
                <w:szCs w:val="22"/>
              </w:rPr>
              <w:t xml:space="preserve"> </w:t>
            </w:r>
            <w:r w:rsidR="00960689">
              <w:rPr>
                <w:sz w:val="22"/>
                <w:szCs w:val="22"/>
              </w:rPr>
              <w:t xml:space="preserve">uses </w:t>
            </w:r>
            <w:r w:rsidR="0088762F">
              <w:rPr>
                <w:sz w:val="22"/>
                <w:szCs w:val="22"/>
              </w:rPr>
              <w:t>a combination of roentgenographic and clinical risk factors to give each patient a score, scoring completed by 3 orthopedic surgeons to compare to actual outcome, provided reliability data of scoring system, examined each risk factor independently</w:t>
            </w:r>
          </w:p>
          <w:p w14:paraId="42DEED65" w14:textId="296A212E" w:rsidR="00763309" w:rsidRPr="0058135E" w:rsidRDefault="00B55E51" w:rsidP="00824444">
            <w:pPr>
              <w:rPr>
                <w:b/>
                <w:sz w:val="22"/>
                <w:szCs w:val="22"/>
              </w:rPr>
            </w:pPr>
            <w:r w:rsidRPr="009C33EF">
              <w:rPr>
                <w:b/>
                <w:sz w:val="22"/>
                <w:szCs w:val="22"/>
              </w:rPr>
              <w:t xml:space="preserve">Limitations: </w:t>
            </w:r>
            <w:r w:rsidR="00467115" w:rsidRPr="009C33EF">
              <w:rPr>
                <w:sz w:val="22"/>
                <w:szCs w:val="22"/>
              </w:rPr>
              <w:t>Retrospective review of lesions in patients</w:t>
            </w:r>
            <w:r w:rsidR="0058135E">
              <w:rPr>
                <w:sz w:val="22"/>
                <w:szCs w:val="22"/>
              </w:rPr>
              <w:t>, s</w:t>
            </w:r>
            <w:r w:rsidR="00763309" w:rsidRPr="009C33EF">
              <w:rPr>
                <w:sz w:val="22"/>
                <w:szCs w:val="22"/>
              </w:rPr>
              <w:t>maller sample size of participants</w:t>
            </w:r>
            <w:r w:rsidR="0088762F">
              <w:rPr>
                <w:sz w:val="22"/>
                <w:szCs w:val="22"/>
              </w:rPr>
              <w:t xml:space="preserve">, data analyzed was </w:t>
            </w:r>
            <w:r w:rsidR="0088762F">
              <w:rPr>
                <w:sz w:val="22"/>
                <w:szCs w:val="22"/>
              </w:rPr>
              <w:lastRenderedPageBreak/>
              <w:t xml:space="preserve">older (1981-1985), selectively chose participants files based on known metastatic lesions </w:t>
            </w:r>
          </w:p>
        </w:tc>
      </w:tr>
      <w:tr w:rsidR="00B452B0" w14:paraId="75472CC6" w14:textId="77777777" w:rsidTr="004864AD">
        <w:tc>
          <w:tcPr>
            <w:tcW w:w="1665" w:type="dxa"/>
          </w:tcPr>
          <w:p w14:paraId="4C667E87" w14:textId="739BA1F4" w:rsidR="006B591B" w:rsidRPr="00100966" w:rsidRDefault="006B591B" w:rsidP="006B591B">
            <w:pPr>
              <w:rPr>
                <w:sz w:val="22"/>
                <w:szCs w:val="22"/>
              </w:rPr>
            </w:pPr>
            <w:r w:rsidRPr="00100966">
              <w:rPr>
                <w:b/>
                <w:sz w:val="22"/>
                <w:szCs w:val="22"/>
              </w:rPr>
              <w:lastRenderedPageBreak/>
              <w:t xml:space="preserve">Author/Year: </w:t>
            </w:r>
            <w:proofErr w:type="spellStart"/>
            <w:r w:rsidRPr="00100966">
              <w:rPr>
                <w:sz w:val="22"/>
                <w:szCs w:val="22"/>
              </w:rPr>
              <w:t>Damron</w:t>
            </w:r>
            <w:proofErr w:type="spellEnd"/>
            <w:r w:rsidRPr="00100966">
              <w:rPr>
                <w:sz w:val="22"/>
                <w:szCs w:val="22"/>
              </w:rPr>
              <w:t>, et. al/ 2003</w:t>
            </w:r>
            <w:r w:rsidR="008D3362">
              <w:rPr>
                <w:sz w:val="22"/>
                <w:szCs w:val="22"/>
              </w:rPr>
              <w:fldChar w:fldCharType="begin"/>
            </w:r>
            <w:r w:rsidR="008D3362">
              <w:rPr>
                <w:sz w:val="22"/>
                <w:szCs w:val="22"/>
              </w:rPr>
              <w:instrText>ADDIN F1000_CSL_CITATION&lt;~#@#~&gt;[{"title":"Critical evaluation of Mirels' rating system for impending pathologic fractures.","id":"6531728","page":"S201-7","type":"article-journal","issue":"415 Suppl","author":[{"family":"Damron","given":"Timothy A"},{"family":"Morgan","given":"Hannah"},{"family":"Prakash","given":"Dave"},{"family":"Grant","given":"William"},{"family":"Aronowitz","given":"Jesse"},{"family":"Heiner","given":"John"}],"issued":{"date-parts":[["2003","10"]]},"container-title":"Clinical Orthopaedics and Related Research","container-title-short":"Clin. Orthop. Relat. Res.","journalAbbreviation":"Clin. Orthop. Relat. Res.","DOI":"10.1097/01.blo.0000093842.72468.73","PMID":"14600611","citation-label":"6531728","Abstract":"This project examined the hypothesis that Mirels' rating system for impending pathologic fractures is reproducible, valid, and applicable across various experience levels and training backgrounds. Twelve true clinical histories and corresponding radiographs for patients with femoral metastatic lesions were reviewed by 53 participants from five experience levels: orthopaedic residents, musculoskeletal radiologists, orthopaedic attendings, fellowship-trained practicing orthopaedic oncologists, and radiation or medical oncologists. Each examiner provided individual and total Mirels' scores and independent determination of impending fracture using clinical judgment. A subset of seven histories without prophylactic fixation provided a natural history group. There was highly significant agreement across experience categories for overall Kappa and for the concordance for individual and overall scores. Kappa analysis showed good agreement for site, moderate agreement for type, and fair agreement for size and pain. There was no significant difference in overall scores across experience levels. The pooled odds ratio favored Mirels rating system over clinical judgment regardless of experience level. Overall sensitivity was 91% and specificity was 35%. Mirels' system seems to be reproducible, valid, and more sensitive than clinical judgment across experience levels. However, although the system is a valuable screening tool, more specific parameters are needed.","CleanAbstract":"This project examined the hypothesis that Mirels' rating system for impending pathologic fractures is reproducible, valid, and applicable across various experience levels and training backgrounds. Twelve true clinical histories and corresponding radiographs for patients with femoral metastatic lesions were reviewed by 53 participants from five experience levels: orthopaedic residents, musculoskeletal radiologists, orthopaedic attendings, fellowship-trained practicing orthopaedic oncologists, and radiation or medical oncologists. Each examiner provided individual and total Mirels' scores and independent determination of impending fracture using clinical judgment. A subset of seven histories without prophylactic fixation provided a natural history group. There was highly significant agreement across experience categories for overall Kappa and for the concordance for individual and overall scores. Kappa analysis showed good agreement for site, moderate agreement for type, and fair agreement for size and pain. There was no significant difference in overall scores across experience levels. The pooled odds ratio favored Mirels rating system over clinical judgment regardless of experience level. Overall sensitivity was 91% and specificity was 35%. Mirels' system seems to be reproducible, valid, and more sensitive than clinical judgment across experience levels. However, although the system is a valuable screening tool, more specific parameters are needed."}]</w:instrText>
            </w:r>
            <w:r w:rsidR="008D3362">
              <w:rPr>
                <w:sz w:val="22"/>
                <w:szCs w:val="22"/>
              </w:rPr>
              <w:fldChar w:fldCharType="separate"/>
            </w:r>
            <w:r w:rsidR="008D3362" w:rsidRPr="008D3362">
              <w:rPr>
                <w:sz w:val="22"/>
                <w:szCs w:val="22"/>
                <w:vertAlign w:val="superscript"/>
              </w:rPr>
              <w:t>4</w:t>
            </w:r>
            <w:r w:rsidR="008D3362">
              <w:rPr>
                <w:sz w:val="22"/>
                <w:szCs w:val="22"/>
              </w:rPr>
              <w:fldChar w:fldCharType="end"/>
            </w:r>
          </w:p>
          <w:p w14:paraId="495AE6C2" w14:textId="1310EB12" w:rsidR="006B591B" w:rsidRPr="000B6756" w:rsidRDefault="006B591B" w:rsidP="006B591B">
            <w:pPr>
              <w:tabs>
                <w:tab w:val="left" w:pos="1200"/>
              </w:tabs>
              <w:rPr>
                <w:b/>
                <w:sz w:val="22"/>
                <w:szCs w:val="22"/>
              </w:rPr>
            </w:pPr>
            <w:r w:rsidRPr="00100966">
              <w:rPr>
                <w:b/>
                <w:sz w:val="22"/>
                <w:szCs w:val="22"/>
              </w:rPr>
              <w:t xml:space="preserve">Study Design: </w:t>
            </w:r>
            <w:r w:rsidRPr="00100966">
              <w:rPr>
                <w:sz w:val="22"/>
                <w:szCs w:val="22"/>
              </w:rPr>
              <w:t>Retrospective review</w:t>
            </w:r>
          </w:p>
        </w:tc>
        <w:tc>
          <w:tcPr>
            <w:tcW w:w="1563" w:type="dxa"/>
          </w:tcPr>
          <w:p w14:paraId="3F5386C1" w14:textId="0B16C5D8" w:rsidR="006B591B" w:rsidRPr="000B6756" w:rsidRDefault="006B591B" w:rsidP="006B591B">
            <w:pPr>
              <w:rPr>
                <w:sz w:val="22"/>
                <w:szCs w:val="22"/>
              </w:rPr>
            </w:pPr>
            <w:r w:rsidRPr="00100966">
              <w:rPr>
                <w:sz w:val="22"/>
                <w:szCs w:val="22"/>
              </w:rPr>
              <w:t xml:space="preserve">Critically examine the hypothesis that </w:t>
            </w:r>
            <w:proofErr w:type="spellStart"/>
            <w:r w:rsidRPr="00100966">
              <w:rPr>
                <w:sz w:val="22"/>
                <w:szCs w:val="22"/>
              </w:rPr>
              <w:t>Mirels</w:t>
            </w:r>
            <w:proofErr w:type="spellEnd"/>
            <w:r w:rsidRPr="00100966">
              <w:rPr>
                <w:sz w:val="22"/>
                <w:szCs w:val="22"/>
              </w:rPr>
              <w:t>’ rating system for impending pathologic femur fractures is reproducible, valid, and applicable</w:t>
            </w:r>
          </w:p>
        </w:tc>
        <w:tc>
          <w:tcPr>
            <w:tcW w:w="1763" w:type="dxa"/>
          </w:tcPr>
          <w:p w14:paraId="026571A2" w14:textId="03B09AB5" w:rsidR="006B591B" w:rsidRPr="000B6756" w:rsidRDefault="006B591B" w:rsidP="006B591B">
            <w:pPr>
              <w:rPr>
                <w:sz w:val="22"/>
                <w:szCs w:val="22"/>
              </w:rPr>
            </w:pPr>
            <w:r w:rsidRPr="00100966">
              <w:rPr>
                <w:sz w:val="22"/>
                <w:szCs w:val="22"/>
              </w:rPr>
              <w:t>- 12 patients with femoral metastatic lesions aged 44-74 years old</w:t>
            </w:r>
          </w:p>
        </w:tc>
        <w:tc>
          <w:tcPr>
            <w:tcW w:w="2191" w:type="dxa"/>
          </w:tcPr>
          <w:p w14:paraId="292BBDD0" w14:textId="77777777" w:rsidR="006B591B" w:rsidRPr="00100966" w:rsidRDefault="006B591B" w:rsidP="006B591B">
            <w:pPr>
              <w:rPr>
                <w:sz w:val="22"/>
                <w:szCs w:val="22"/>
              </w:rPr>
            </w:pPr>
            <w:r w:rsidRPr="00100966">
              <w:rPr>
                <w:sz w:val="22"/>
                <w:szCs w:val="22"/>
              </w:rPr>
              <w:t xml:space="preserve">- 53 physicians used </w:t>
            </w:r>
            <w:proofErr w:type="spellStart"/>
            <w:r w:rsidRPr="00100966">
              <w:rPr>
                <w:sz w:val="22"/>
                <w:szCs w:val="22"/>
              </w:rPr>
              <w:t>Mirels</w:t>
            </w:r>
            <w:proofErr w:type="spellEnd"/>
            <w:r w:rsidRPr="00100966">
              <w:rPr>
                <w:sz w:val="22"/>
                <w:szCs w:val="22"/>
              </w:rPr>
              <w:t>’ rating system to assign a score to each patients’ case and then they were asked to predict whether the patient in the case history was likely to have a pathologic fracture</w:t>
            </w:r>
          </w:p>
          <w:p w14:paraId="08C50D53" w14:textId="0E1DA6E9" w:rsidR="006B591B" w:rsidRPr="000B6756" w:rsidRDefault="006B591B" w:rsidP="006B591B">
            <w:pPr>
              <w:rPr>
                <w:sz w:val="22"/>
                <w:szCs w:val="22"/>
              </w:rPr>
            </w:pPr>
            <w:r w:rsidRPr="00100966">
              <w:rPr>
                <w:sz w:val="22"/>
                <w:szCs w:val="22"/>
              </w:rPr>
              <w:t xml:space="preserve">-Measured agreeance between physicians predicted fracture risk based on </w:t>
            </w:r>
            <w:proofErr w:type="spellStart"/>
            <w:r w:rsidRPr="00100966">
              <w:rPr>
                <w:sz w:val="22"/>
                <w:szCs w:val="22"/>
              </w:rPr>
              <w:t>Mirels</w:t>
            </w:r>
            <w:proofErr w:type="spellEnd"/>
            <w:r w:rsidRPr="00100966">
              <w:rPr>
                <w:sz w:val="22"/>
                <w:szCs w:val="22"/>
              </w:rPr>
              <w:t xml:space="preserve">’ score </w:t>
            </w:r>
          </w:p>
        </w:tc>
        <w:tc>
          <w:tcPr>
            <w:tcW w:w="2672" w:type="dxa"/>
          </w:tcPr>
          <w:p w14:paraId="22990406" w14:textId="77777777" w:rsidR="006B591B" w:rsidRPr="00100966" w:rsidRDefault="006B591B" w:rsidP="006B591B">
            <w:pPr>
              <w:rPr>
                <w:sz w:val="22"/>
                <w:szCs w:val="22"/>
              </w:rPr>
            </w:pPr>
            <w:r w:rsidRPr="00100966">
              <w:rPr>
                <w:sz w:val="22"/>
                <w:szCs w:val="22"/>
              </w:rPr>
              <w:t xml:space="preserve">- Concordance analysis for overall scores were highly significant </w:t>
            </w:r>
          </w:p>
          <w:p w14:paraId="633C29AD" w14:textId="77777777" w:rsidR="006B591B" w:rsidRPr="00100966" w:rsidRDefault="006B591B" w:rsidP="006B591B">
            <w:pPr>
              <w:rPr>
                <w:sz w:val="22"/>
                <w:szCs w:val="22"/>
              </w:rPr>
            </w:pPr>
            <w:r w:rsidRPr="00100966">
              <w:rPr>
                <w:sz w:val="22"/>
                <w:szCs w:val="22"/>
              </w:rPr>
              <w:t xml:space="preserve">- </w:t>
            </w:r>
            <w:r w:rsidRPr="009138E6">
              <w:rPr>
                <w:b/>
                <w:sz w:val="22"/>
                <w:szCs w:val="22"/>
              </w:rPr>
              <w:t xml:space="preserve">Individual </w:t>
            </w:r>
            <w:proofErr w:type="spellStart"/>
            <w:r w:rsidRPr="009138E6">
              <w:rPr>
                <w:b/>
                <w:sz w:val="22"/>
                <w:szCs w:val="22"/>
              </w:rPr>
              <w:t>Mirels</w:t>
            </w:r>
            <w:proofErr w:type="spellEnd"/>
            <w:r w:rsidRPr="009138E6">
              <w:rPr>
                <w:b/>
                <w:sz w:val="22"/>
                <w:szCs w:val="22"/>
              </w:rPr>
              <w:t>’ score component that showed greatest variability was pain</w:t>
            </w:r>
          </w:p>
          <w:p w14:paraId="1617C757" w14:textId="77777777" w:rsidR="006B591B" w:rsidRPr="00100966" w:rsidRDefault="006B591B" w:rsidP="006B591B">
            <w:pPr>
              <w:rPr>
                <w:sz w:val="22"/>
                <w:szCs w:val="22"/>
              </w:rPr>
            </w:pPr>
            <w:r w:rsidRPr="00100966">
              <w:rPr>
                <w:sz w:val="22"/>
                <w:szCs w:val="22"/>
              </w:rPr>
              <w:t xml:space="preserve">- Sensitivity of </w:t>
            </w:r>
            <w:proofErr w:type="spellStart"/>
            <w:r w:rsidRPr="00100966">
              <w:rPr>
                <w:sz w:val="22"/>
                <w:szCs w:val="22"/>
              </w:rPr>
              <w:t>Mirels</w:t>
            </w:r>
            <w:proofErr w:type="spellEnd"/>
            <w:r w:rsidRPr="00100966">
              <w:rPr>
                <w:sz w:val="22"/>
                <w:szCs w:val="22"/>
              </w:rPr>
              <w:t>’ system was 91% and specificity was 35%</w:t>
            </w:r>
          </w:p>
          <w:p w14:paraId="294700E4" w14:textId="77777777" w:rsidR="006B591B" w:rsidRPr="00100966" w:rsidRDefault="006B591B" w:rsidP="006B591B">
            <w:pPr>
              <w:rPr>
                <w:sz w:val="22"/>
                <w:szCs w:val="22"/>
              </w:rPr>
            </w:pPr>
            <w:r w:rsidRPr="00100966">
              <w:rPr>
                <w:sz w:val="22"/>
                <w:szCs w:val="22"/>
              </w:rPr>
              <w:t xml:space="preserve">- Odds ratio in favor of predicting fracture based on </w:t>
            </w:r>
            <w:proofErr w:type="spellStart"/>
            <w:r w:rsidRPr="00100966">
              <w:rPr>
                <w:sz w:val="22"/>
                <w:szCs w:val="22"/>
              </w:rPr>
              <w:t>Mirels</w:t>
            </w:r>
            <w:proofErr w:type="spellEnd"/>
            <w:r w:rsidRPr="00100966">
              <w:rPr>
                <w:sz w:val="22"/>
                <w:szCs w:val="22"/>
              </w:rPr>
              <w:t>’ assigned scores was 4.56</w:t>
            </w:r>
          </w:p>
          <w:p w14:paraId="0A9CE8D9" w14:textId="23F9EBB8" w:rsidR="006B591B" w:rsidRPr="000B6756" w:rsidRDefault="006B591B" w:rsidP="006B591B">
            <w:pPr>
              <w:rPr>
                <w:sz w:val="22"/>
                <w:szCs w:val="22"/>
              </w:rPr>
            </w:pPr>
            <w:r w:rsidRPr="00100966">
              <w:rPr>
                <w:sz w:val="22"/>
                <w:szCs w:val="22"/>
              </w:rPr>
              <w:t xml:space="preserve">- </w:t>
            </w:r>
            <w:proofErr w:type="spellStart"/>
            <w:r w:rsidRPr="009138E6">
              <w:rPr>
                <w:b/>
                <w:sz w:val="22"/>
                <w:szCs w:val="22"/>
              </w:rPr>
              <w:t>Mirels</w:t>
            </w:r>
            <w:proofErr w:type="spellEnd"/>
            <w:r w:rsidRPr="009138E6">
              <w:rPr>
                <w:b/>
                <w:sz w:val="22"/>
                <w:szCs w:val="22"/>
              </w:rPr>
              <w:t>’ scoring system is reproducible and valid for prediction of impending fracture risk</w:t>
            </w:r>
          </w:p>
        </w:tc>
        <w:tc>
          <w:tcPr>
            <w:tcW w:w="3096" w:type="dxa"/>
          </w:tcPr>
          <w:p w14:paraId="45D4B0DC" w14:textId="77777777" w:rsidR="006B591B" w:rsidRPr="00100966" w:rsidRDefault="006B591B" w:rsidP="006B591B">
            <w:pPr>
              <w:rPr>
                <w:sz w:val="22"/>
                <w:szCs w:val="22"/>
              </w:rPr>
            </w:pPr>
            <w:r w:rsidRPr="00100966">
              <w:rPr>
                <w:b/>
                <w:sz w:val="22"/>
                <w:szCs w:val="22"/>
              </w:rPr>
              <w:t>Strengths:</w:t>
            </w:r>
            <w:r>
              <w:rPr>
                <w:b/>
                <w:sz w:val="22"/>
                <w:szCs w:val="22"/>
              </w:rPr>
              <w:t xml:space="preserve"> </w:t>
            </w:r>
            <w:r>
              <w:rPr>
                <w:sz w:val="22"/>
                <w:szCs w:val="22"/>
              </w:rPr>
              <w:t xml:space="preserve">large number of examiners (53) from 5 experience levels to test </w:t>
            </w:r>
            <w:proofErr w:type="spellStart"/>
            <w:r>
              <w:rPr>
                <w:sz w:val="22"/>
                <w:szCs w:val="22"/>
              </w:rPr>
              <w:t>Mirels</w:t>
            </w:r>
            <w:proofErr w:type="spellEnd"/>
            <w:r>
              <w:rPr>
                <w:sz w:val="22"/>
                <w:szCs w:val="22"/>
              </w:rPr>
              <w:t xml:space="preserve">’ rating system, determined which group was most effective/least effective at using this as a screening tool, compared using tool to clinical judgement </w:t>
            </w:r>
          </w:p>
          <w:p w14:paraId="409D8013" w14:textId="0B91B88C" w:rsidR="006B591B" w:rsidRDefault="006B591B" w:rsidP="006B591B">
            <w:pPr>
              <w:rPr>
                <w:b/>
                <w:sz w:val="22"/>
                <w:szCs w:val="22"/>
              </w:rPr>
            </w:pPr>
            <w:r w:rsidRPr="00100966">
              <w:rPr>
                <w:b/>
                <w:sz w:val="22"/>
                <w:szCs w:val="22"/>
              </w:rPr>
              <w:t xml:space="preserve">Limitations: </w:t>
            </w:r>
            <w:r>
              <w:rPr>
                <w:sz w:val="22"/>
                <w:szCs w:val="22"/>
              </w:rPr>
              <w:t>not all clinical information usually available to the clinician was provided, small sample size, only assessed patient case histories and radiographs, lesions restricted to femoral involvement, patient case selection was not randomized</w:t>
            </w:r>
          </w:p>
        </w:tc>
      </w:tr>
      <w:tr w:rsidR="00B452B0" w14:paraId="174EF01A" w14:textId="77777777" w:rsidTr="004864AD">
        <w:tc>
          <w:tcPr>
            <w:tcW w:w="1665" w:type="dxa"/>
          </w:tcPr>
          <w:p w14:paraId="66A2DE6E" w14:textId="1FE51D14" w:rsidR="006B591B" w:rsidRPr="0038433D" w:rsidRDefault="006B591B" w:rsidP="006B591B">
            <w:pPr>
              <w:rPr>
                <w:sz w:val="22"/>
                <w:szCs w:val="22"/>
              </w:rPr>
            </w:pPr>
            <w:r w:rsidRPr="00100966">
              <w:rPr>
                <w:b/>
                <w:sz w:val="22"/>
                <w:szCs w:val="22"/>
              </w:rPr>
              <w:t>Author/Year</w:t>
            </w:r>
            <w:r>
              <w:rPr>
                <w:b/>
                <w:sz w:val="22"/>
                <w:szCs w:val="22"/>
              </w:rPr>
              <w:t xml:space="preserve">: </w:t>
            </w:r>
            <w:r>
              <w:rPr>
                <w:sz w:val="22"/>
                <w:szCs w:val="22"/>
              </w:rPr>
              <w:t>Patel, et. al., 2001</w:t>
            </w:r>
            <w:r w:rsidR="008D3362">
              <w:rPr>
                <w:sz w:val="22"/>
                <w:szCs w:val="22"/>
              </w:rPr>
              <w:fldChar w:fldCharType="begin"/>
            </w:r>
            <w:r w:rsidR="008D3362">
              <w:rPr>
                <w:sz w:val="22"/>
                <w:szCs w:val="22"/>
              </w:rPr>
              <w:instrText>ADDIN F1000_CSL_CITATION&lt;~#@#~&gt;[{"title":"Evaluation of the risk of pathologic fractures secondary to metastatic bone disease.","id":"6531944","page":"612-7; quiz 618","type":"article-journal","volume":"24","issue":"6","author":[{"family":"Patel","given":"B"},{"family":"DeGroot","given":"H"}],"issued":{"date-parts":[["2001","6"]]},"container-title":"Orthopedics","container-title-short":"Orthopedics","journalAbbreviation":"Orthopedics","PMID":"11430748","citation-label":"6531944"}]</w:instrText>
            </w:r>
            <w:r w:rsidR="008D3362">
              <w:rPr>
                <w:sz w:val="22"/>
                <w:szCs w:val="22"/>
              </w:rPr>
              <w:fldChar w:fldCharType="separate"/>
            </w:r>
            <w:r w:rsidR="008D3362" w:rsidRPr="008D3362">
              <w:rPr>
                <w:sz w:val="22"/>
                <w:szCs w:val="22"/>
                <w:vertAlign w:val="superscript"/>
              </w:rPr>
              <w:t>5</w:t>
            </w:r>
            <w:r w:rsidR="008D3362">
              <w:rPr>
                <w:sz w:val="22"/>
                <w:szCs w:val="22"/>
              </w:rPr>
              <w:fldChar w:fldCharType="end"/>
            </w:r>
          </w:p>
          <w:p w14:paraId="3BDDB983" w14:textId="5C8A7320" w:rsidR="006B591B" w:rsidRPr="00100966" w:rsidRDefault="006B591B" w:rsidP="006B591B">
            <w:pPr>
              <w:rPr>
                <w:b/>
                <w:sz w:val="22"/>
                <w:szCs w:val="22"/>
              </w:rPr>
            </w:pPr>
            <w:r w:rsidRPr="00100966">
              <w:rPr>
                <w:b/>
                <w:sz w:val="22"/>
                <w:szCs w:val="22"/>
              </w:rPr>
              <w:lastRenderedPageBreak/>
              <w:t>Study Design</w:t>
            </w:r>
            <w:r>
              <w:rPr>
                <w:b/>
                <w:sz w:val="22"/>
                <w:szCs w:val="22"/>
              </w:rPr>
              <w:t xml:space="preserve">: </w:t>
            </w:r>
            <w:r w:rsidR="00B452B0">
              <w:rPr>
                <w:sz w:val="22"/>
                <w:szCs w:val="22"/>
              </w:rPr>
              <w:t xml:space="preserve">Literature </w:t>
            </w:r>
            <w:r>
              <w:rPr>
                <w:sz w:val="22"/>
                <w:szCs w:val="22"/>
              </w:rPr>
              <w:t>Review</w:t>
            </w:r>
          </w:p>
        </w:tc>
        <w:tc>
          <w:tcPr>
            <w:tcW w:w="1563" w:type="dxa"/>
          </w:tcPr>
          <w:p w14:paraId="44229B39" w14:textId="6D6923AD" w:rsidR="006B591B" w:rsidRPr="00100966" w:rsidRDefault="006B591B" w:rsidP="006B591B">
            <w:pPr>
              <w:rPr>
                <w:sz w:val="22"/>
                <w:szCs w:val="22"/>
              </w:rPr>
            </w:pPr>
            <w:r>
              <w:rPr>
                <w:sz w:val="22"/>
                <w:szCs w:val="22"/>
              </w:rPr>
              <w:lastRenderedPageBreak/>
              <w:t xml:space="preserve">Review the evaluation of fractures that </w:t>
            </w:r>
            <w:r>
              <w:rPr>
                <w:sz w:val="22"/>
                <w:szCs w:val="22"/>
              </w:rPr>
              <w:lastRenderedPageBreak/>
              <w:t>occur secondary to bone destruction by metastatic cancer and guidelines for estimating fracture risk</w:t>
            </w:r>
          </w:p>
        </w:tc>
        <w:tc>
          <w:tcPr>
            <w:tcW w:w="1763" w:type="dxa"/>
          </w:tcPr>
          <w:p w14:paraId="7EA9C23A" w14:textId="3E17CF3F" w:rsidR="006B591B" w:rsidRPr="00100966" w:rsidRDefault="00B452B0" w:rsidP="006B591B">
            <w:pPr>
              <w:rPr>
                <w:sz w:val="22"/>
                <w:szCs w:val="22"/>
              </w:rPr>
            </w:pPr>
            <w:r>
              <w:rPr>
                <w:sz w:val="22"/>
                <w:szCs w:val="22"/>
              </w:rPr>
              <w:lastRenderedPageBreak/>
              <w:t>7 retrospective a</w:t>
            </w:r>
            <w:r w:rsidR="006B591B">
              <w:rPr>
                <w:sz w:val="22"/>
                <w:szCs w:val="22"/>
              </w:rPr>
              <w:t xml:space="preserve">rticles with patients who had </w:t>
            </w:r>
            <w:r w:rsidR="006B591B">
              <w:rPr>
                <w:sz w:val="22"/>
                <w:szCs w:val="22"/>
              </w:rPr>
              <w:lastRenderedPageBreak/>
              <w:t>metastatic bone disease</w:t>
            </w:r>
          </w:p>
        </w:tc>
        <w:tc>
          <w:tcPr>
            <w:tcW w:w="2191" w:type="dxa"/>
          </w:tcPr>
          <w:p w14:paraId="518D3A2F" w14:textId="0BEE1A57" w:rsidR="006B591B" w:rsidRPr="00100966" w:rsidRDefault="00B452B0" w:rsidP="006B591B">
            <w:pPr>
              <w:rPr>
                <w:sz w:val="22"/>
                <w:szCs w:val="22"/>
              </w:rPr>
            </w:pPr>
            <w:r>
              <w:rPr>
                <w:sz w:val="22"/>
                <w:szCs w:val="22"/>
              </w:rPr>
              <w:lastRenderedPageBreak/>
              <w:t>Risk factors leading to fracture</w:t>
            </w:r>
          </w:p>
        </w:tc>
        <w:tc>
          <w:tcPr>
            <w:tcW w:w="2672" w:type="dxa"/>
          </w:tcPr>
          <w:p w14:paraId="4859B60B" w14:textId="77777777" w:rsidR="006B591B" w:rsidRDefault="006B591B" w:rsidP="006B591B">
            <w:pPr>
              <w:rPr>
                <w:sz w:val="22"/>
                <w:szCs w:val="22"/>
              </w:rPr>
            </w:pPr>
            <w:r>
              <w:rPr>
                <w:sz w:val="22"/>
                <w:szCs w:val="22"/>
              </w:rPr>
              <w:t>-</w:t>
            </w:r>
            <w:r w:rsidRPr="009138E6">
              <w:rPr>
                <w:b/>
                <w:sz w:val="22"/>
                <w:szCs w:val="22"/>
              </w:rPr>
              <w:t>Risk of fracture increases with duration of metastatic disease</w:t>
            </w:r>
          </w:p>
          <w:p w14:paraId="34A98EDA" w14:textId="23DB90CB" w:rsidR="006B591B" w:rsidRDefault="006B591B" w:rsidP="006B591B">
            <w:pPr>
              <w:rPr>
                <w:sz w:val="22"/>
                <w:szCs w:val="22"/>
              </w:rPr>
            </w:pPr>
            <w:r>
              <w:rPr>
                <w:sz w:val="22"/>
                <w:szCs w:val="22"/>
              </w:rPr>
              <w:lastRenderedPageBreak/>
              <w:t>- Radiation increased fracture risk in patients with me</w:t>
            </w:r>
            <w:r w:rsidR="007D4DAD">
              <w:rPr>
                <w:sz w:val="22"/>
                <w:szCs w:val="22"/>
              </w:rPr>
              <w:t>tastases</w:t>
            </w:r>
          </w:p>
          <w:p w14:paraId="67DA0647" w14:textId="77777777" w:rsidR="006B591B" w:rsidRPr="009138E6" w:rsidRDefault="006B591B" w:rsidP="006B591B">
            <w:pPr>
              <w:rPr>
                <w:b/>
                <w:sz w:val="22"/>
                <w:szCs w:val="22"/>
              </w:rPr>
            </w:pPr>
            <w:r>
              <w:rPr>
                <w:sz w:val="22"/>
                <w:szCs w:val="22"/>
              </w:rPr>
              <w:t>-</w:t>
            </w:r>
            <w:r w:rsidRPr="009138E6">
              <w:rPr>
                <w:b/>
                <w:sz w:val="22"/>
                <w:szCs w:val="22"/>
              </w:rPr>
              <w:t>Pain is a sign of decreased mechanical strength of bone and increased fracture risk</w:t>
            </w:r>
          </w:p>
          <w:p w14:paraId="322FBDC4" w14:textId="77777777" w:rsidR="006B591B" w:rsidRDefault="006B591B" w:rsidP="006B591B">
            <w:pPr>
              <w:rPr>
                <w:sz w:val="22"/>
                <w:szCs w:val="22"/>
              </w:rPr>
            </w:pPr>
            <w:r>
              <w:rPr>
                <w:sz w:val="22"/>
                <w:szCs w:val="22"/>
              </w:rPr>
              <w:t>- 2 studies found that less than half of their patients with fractures complained of pain</w:t>
            </w:r>
          </w:p>
          <w:p w14:paraId="6C8FD839" w14:textId="77777777" w:rsidR="006B591B" w:rsidRDefault="006B591B" w:rsidP="006B591B">
            <w:pPr>
              <w:rPr>
                <w:sz w:val="22"/>
                <w:szCs w:val="22"/>
              </w:rPr>
            </w:pPr>
            <w:r>
              <w:rPr>
                <w:sz w:val="22"/>
                <w:szCs w:val="22"/>
              </w:rPr>
              <w:t xml:space="preserve">- </w:t>
            </w:r>
            <w:r w:rsidRPr="009138E6">
              <w:rPr>
                <w:b/>
                <w:sz w:val="22"/>
                <w:szCs w:val="22"/>
              </w:rPr>
              <w:t>Patients with &gt;50% cortical involvement developed a fracture</w:t>
            </w:r>
          </w:p>
          <w:p w14:paraId="31FDF484" w14:textId="6567029C" w:rsidR="006B591B" w:rsidRPr="00100966" w:rsidRDefault="006B591B" w:rsidP="006B591B">
            <w:pPr>
              <w:rPr>
                <w:sz w:val="22"/>
                <w:szCs w:val="22"/>
              </w:rPr>
            </w:pPr>
            <w:r>
              <w:rPr>
                <w:sz w:val="22"/>
                <w:szCs w:val="22"/>
              </w:rPr>
              <w:t>- Lytic lesions have increased fracture risk</w:t>
            </w:r>
          </w:p>
        </w:tc>
        <w:tc>
          <w:tcPr>
            <w:tcW w:w="3096" w:type="dxa"/>
          </w:tcPr>
          <w:p w14:paraId="3BDBF6E9" w14:textId="77777777" w:rsidR="006B591B" w:rsidRPr="006B6226" w:rsidRDefault="006B591B" w:rsidP="006B591B">
            <w:pPr>
              <w:rPr>
                <w:sz w:val="22"/>
                <w:szCs w:val="22"/>
              </w:rPr>
            </w:pPr>
            <w:r>
              <w:rPr>
                <w:sz w:val="22"/>
                <w:szCs w:val="22"/>
              </w:rPr>
              <w:lastRenderedPageBreak/>
              <w:t xml:space="preserve">- </w:t>
            </w:r>
            <w:r>
              <w:rPr>
                <w:b/>
                <w:sz w:val="22"/>
                <w:szCs w:val="22"/>
              </w:rPr>
              <w:t xml:space="preserve">Strengths: </w:t>
            </w:r>
            <w:r>
              <w:rPr>
                <w:sz w:val="22"/>
                <w:szCs w:val="22"/>
              </w:rPr>
              <w:t xml:space="preserve">large number of articles included for review, used </w:t>
            </w:r>
            <w:proofErr w:type="spellStart"/>
            <w:r>
              <w:rPr>
                <w:sz w:val="22"/>
                <w:szCs w:val="22"/>
              </w:rPr>
              <w:t>Mirels</w:t>
            </w:r>
            <w:proofErr w:type="spellEnd"/>
            <w:r>
              <w:rPr>
                <w:sz w:val="22"/>
                <w:szCs w:val="22"/>
              </w:rPr>
              <w:t xml:space="preserve">’ score in addition to </w:t>
            </w:r>
            <w:r>
              <w:rPr>
                <w:sz w:val="22"/>
                <w:szCs w:val="22"/>
              </w:rPr>
              <w:lastRenderedPageBreak/>
              <w:t xml:space="preserve">certain factors that have been shown to increase fracture risk to improve prediction of fractures in patients </w:t>
            </w:r>
          </w:p>
          <w:p w14:paraId="769A44D1" w14:textId="009C1321" w:rsidR="006B591B" w:rsidRPr="00100966" w:rsidRDefault="006B591B" w:rsidP="006B591B">
            <w:pPr>
              <w:rPr>
                <w:b/>
                <w:sz w:val="22"/>
                <w:szCs w:val="22"/>
              </w:rPr>
            </w:pPr>
            <w:r>
              <w:rPr>
                <w:b/>
                <w:sz w:val="22"/>
                <w:szCs w:val="22"/>
              </w:rPr>
              <w:t xml:space="preserve">- Limitations: </w:t>
            </w:r>
            <w:r>
              <w:rPr>
                <w:sz w:val="22"/>
                <w:szCs w:val="22"/>
              </w:rPr>
              <w:t>review of articles, did not include control vs experimental groups, no statistical data to back up results found, did not include information on sample size or strength of articles reviewed</w:t>
            </w:r>
          </w:p>
        </w:tc>
      </w:tr>
      <w:tr w:rsidR="00B452B0" w14:paraId="0AC67B87" w14:textId="77777777" w:rsidTr="004864AD">
        <w:tc>
          <w:tcPr>
            <w:tcW w:w="1665" w:type="dxa"/>
          </w:tcPr>
          <w:p w14:paraId="72E06EC0" w14:textId="1D1C2594" w:rsidR="006E2430" w:rsidRPr="006E2430" w:rsidRDefault="006E2430" w:rsidP="006B591B">
            <w:pPr>
              <w:rPr>
                <w:sz w:val="22"/>
                <w:szCs w:val="22"/>
              </w:rPr>
            </w:pPr>
            <w:r>
              <w:rPr>
                <w:b/>
                <w:sz w:val="22"/>
                <w:szCs w:val="22"/>
              </w:rPr>
              <w:lastRenderedPageBreak/>
              <w:t xml:space="preserve">Author/Year: </w:t>
            </w:r>
            <w:proofErr w:type="spellStart"/>
            <w:r>
              <w:rPr>
                <w:sz w:val="22"/>
                <w:szCs w:val="22"/>
              </w:rPr>
              <w:t>Beals</w:t>
            </w:r>
            <w:proofErr w:type="spellEnd"/>
            <w:r>
              <w:rPr>
                <w:sz w:val="22"/>
                <w:szCs w:val="22"/>
              </w:rPr>
              <w:t>, et. al., 1971</w:t>
            </w:r>
            <w:r w:rsidR="008D3362">
              <w:rPr>
                <w:sz w:val="22"/>
                <w:szCs w:val="22"/>
              </w:rPr>
              <w:fldChar w:fldCharType="begin"/>
            </w:r>
            <w:r w:rsidR="008D3362">
              <w:rPr>
                <w:sz w:val="22"/>
                <w:szCs w:val="22"/>
              </w:rPr>
              <w:instrText>ADDIN F1000_CSL_CITATION&lt;~#@#~&gt;[{"title":"Prophylactic Internal Fixation of the Femur in Metastatic Breast Cancer","id":"6532070","page":"1350-1354","type":"article-journal","volume":"28","issue":"5","author":[{"family":"Beals","given":"Rodney"},{"family":"Lawton","given":"Grant"},{"family":"Snell","given":"William"}],"issued":{"date-parts":[["1971"]]},"container-title":"Cancer","container-title-short":"Cancer","journalAbbreviation":"Cancer","citation-label":"6532070"}]</w:instrText>
            </w:r>
            <w:r w:rsidR="008D3362">
              <w:rPr>
                <w:sz w:val="22"/>
                <w:szCs w:val="22"/>
              </w:rPr>
              <w:fldChar w:fldCharType="separate"/>
            </w:r>
            <w:r w:rsidR="008D3362" w:rsidRPr="008D3362">
              <w:rPr>
                <w:sz w:val="22"/>
                <w:szCs w:val="22"/>
                <w:vertAlign w:val="superscript"/>
              </w:rPr>
              <w:t>6</w:t>
            </w:r>
            <w:r w:rsidR="008D3362">
              <w:rPr>
                <w:sz w:val="22"/>
                <w:szCs w:val="22"/>
              </w:rPr>
              <w:fldChar w:fldCharType="end"/>
            </w:r>
          </w:p>
          <w:p w14:paraId="3E7A134C" w14:textId="0C4A0E3E" w:rsidR="006E2430" w:rsidRPr="006E2430" w:rsidRDefault="006E2430" w:rsidP="006B591B">
            <w:pPr>
              <w:rPr>
                <w:sz w:val="22"/>
                <w:szCs w:val="22"/>
              </w:rPr>
            </w:pPr>
            <w:r>
              <w:rPr>
                <w:b/>
                <w:sz w:val="22"/>
                <w:szCs w:val="22"/>
              </w:rPr>
              <w:t xml:space="preserve">Study Design: </w:t>
            </w:r>
            <w:r>
              <w:rPr>
                <w:sz w:val="22"/>
                <w:szCs w:val="22"/>
              </w:rPr>
              <w:t>Retrospective Review</w:t>
            </w:r>
          </w:p>
        </w:tc>
        <w:tc>
          <w:tcPr>
            <w:tcW w:w="1563" w:type="dxa"/>
          </w:tcPr>
          <w:p w14:paraId="6C433155" w14:textId="08B95776" w:rsidR="006E2430" w:rsidRDefault="006E2430" w:rsidP="006B591B">
            <w:pPr>
              <w:rPr>
                <w:sz w:val="22"/>
                <w:szCs w:val="22"/>
              </w:rPr>
            </w:pPr>
            <w:r>
              <w:rPr>
                <w:sz w:val="22"/>
                <w:szCs w:val="22"/>
              </w:rPr>
              <w:t>Review the incidence of femoral fractures occurring in patients with metastatic breast cancer</w:t>
            </w:r>
          </w:p>
        </w:tc>
        <w:tc>
          <w:tcPr>
            <w:tcW w:w="1763" w:type="dxa"/>
          </w:tcPr>
          <w:p w14:paraId="68C88B34" w14:textId="0ACE88B0" w:rsidR="006E2430" w:rsidRDefault="006E2430" w:rsidP="006B591B">
            <w:pPr>
              <w:rPr>
                <w:sz w:val="22"/>
                <w:szCs w:val="22"/>
              </w:rPr>
            </w:pPr>
            <w:r>
              <w:rPr>
                <w:sz w:val="22"/>
                <w:szCs w:val="22"/>
              </w:rPr>
              <w:t>338 patients with metastatic breast cancer</w:t>
            </w:r>
          </w:p>
        </w:tc>
        <w:tc>
          <w:tcPr>
            <w:tcW w:w="2191" w:type="dxa"/>
          </w:tcPr>
          <w:p w14:paraId="70913782" w14:textId="52EA9CCF" w:rsidR="006E2430" w:rsidRDefault="0084539A" w:rsidP="006B591B">
            <w:pPr>
              <w:rPr>
                <w:sz w:val="22"/>
                <w:szCs w:val="22"/>
              </w:rPr>
            </w:pPr>
            <w:r>
              <w:rPr>
                <w:sz w:val="22"/>
                <w:szCs w:val="22"/>
              </w:rPr>
              <w:t>Incidence of femoral f</w:t>
            </w:r>
            <w:r w:rsidR="006E2430">
              <w:rPr>
                <w:sz w:val="22"/>
                <w:szCs w:val="22"/>
              </w:rPr>
              <w:t>racture</w:t>
            </w:r>
            <w:r>
              <w:rPr>
                <w:sz w:val="22"/>
                <w:szCs w:val="22"/>
              </w:rPr>
              <w:t>s</w:t>
            </w:r>
          </w:p>
        </w:tc>
        <w:tc>
          <w:tcPr>
            <w:tcW w:w="2672" w:type="dxa"/>
          </w:tcPr>
          <w:p w14:paraId="022836A7" w14:textId="7A9EF053" w:rsidR="006E2430" w:rsidRDefault="006E2430" w:rsidP="006B591B">
            <w:pPr>
              <w:rPr>
                <w:sz w:val="22"/>
                <w:szCs w:val="22"/>
              </w:rPr>
            </w:pPr>
            <w:r>
              <w:rPr>
                <w:sz w:val="22"/>
                <w:szCs w:val="22"/>
              </w:rPr>
              <w:t xml:space="preserve">- </w:t>
            </w:r>
            <w:r w:rsidR="00AA57DD" w:rsidRPr="00323916">
              <w:rPr>
                <w:b/>
                <w:sz w:val="22"/>
                <w:szCs w:val="22"/>
              </w:rPr>
              <w:t>Fractures occurred in patients that had lesions greater than 2.5 cm in diameter in the femur</w:t>
            </w:r>
            <w:r w:rsidR="00AA57DD">
              <w:rPr>
                <w:sz w:val="22"/>
                <w:szCs w:val="22"/>
              </w:rPr>
              <w:t xml:space="preserve"> or when a lesion this size was </w:t>
            </w:r>
            <w:r w:rsidR="00AA57DD" w:rsidRPr="00F1461A">
              <w:rPr>
                <w:b/>
                <w:sz w:val="22"/>
                <w:szCs w:val="22"/>
              </w:rPr>
              <w:t>painful regardless of location</w:t>
            </w:r>
          </w:p>
          <w:p w14:paraId="0E0B6C77" w14:textId="2B876CDF" w:rsidR="00AA57DD" w:rsidRDefault="00AA57DD" w:rsidP="006B591B">
            <w:pPr>
              <w:rPr>
                <w:sz w:val="22"/>
                <w:szCs w:val="22"/>
              </w:rPr>
            </w:pPr>
            <w:r>
              <w:rPr>
                <w:sz w:val="22"/>
                <w:szCs w:val="22"/>
              </w:rPr>
              <w:t>-</w:t>
            </w:r>
            <w:r w:rsidRPr="00F1461A">
              <w:rPr>
                <w:b/>
                <w:sz w:val="22"/>
                <w:szCs w:val="22"/>
              </w:rPr>
              <w:t>Femoral metastases have highest risk of fracture</w:t>
            </w:r>
            <w:r>
              <w:rPr>
                <w:sz w:val="22"/>
                <w:szCs w:val="22"/>
              </w:rPr>
              <w:t xml:space="preserve"> (32%)</w:t>
            </w:r>
          </w:p>
        </w:tc>
        <w:tc>
          <w:tcPr>
            <w:tcW w:w="3096" w:type="dxa"/>
          </w:tcPr>
          <w:p w14:paraId="0001A43E" w14:textId="5211424A" w:rsidR="006E2430" w:rsidRPr="00AA57DD" w:rsidRDefault="00AA57DD" w:rsidP="006B591B">
            <w:pPr>
              <w:rPr>
                <w:sz w:val="22"/>
                <w:szCs w:val="22"/>
              </w:rPr>
            </w:pPr>
            <w:r>
              <w:rPr>
                <w:b/>
                <w:sz w:val="22"/>
                <w:szCs w:val="22"/>
              </w:rPr>
              <w:t xml:space="preserve">Strengths: </w:t>
            </w:r>
            <w:r>
              <w:rPr>
                <w:sz w:val="22"/>
                <w:szCs w:val="22"/>
              </w:rPr>
              <w:t xml:space="preserve">Large sample size, reviewed articles from longer time span (1956-1961, 1965-1969) </w:t>
            </w:r>
          </w:p>
          <w:p w14:paraId="674CDCFB" w14:textId="6DDE060C" w:rsidR="00AA57DD" w:rsidRPr="00AA57DD" w:rsidRDefault="00AA57DD" w:rsidP="006B591B">
            <w:pPr>
              <w:rPr>
                <w:sz w:val="22"/>
                <w:szCs w:val="22"/>
              </w:rPr>
            </w:pPr>
            <w:r>
              <w:rPr>
                <w:b/>
                <w:sz w:val="22"/>
                <w:szCs w:val="22"/>
              </w:rPr>
              <w:t xml:space="preserve">Limitations: </w:t>
            </w:r>
            <w:r>
              <w:rPr>
                <w:sz w:val="22"/>
                <w:szCs w:val="22"/>
              </w:rPr>
              <w:t>Retrospective review, older article, only included patients with metastatic breast cancer</w:t>
            </w:r>
          </w:p>
        </w:tc>
      </w:tr>
      <w:tr w:rsidR="00B452B0" w14:paraId="562A5E6D" w14:textId="77777777" w:rsidTr="004864AD">
        <w:tc>
          <w:tcPr>
            <w:tcW w:w="1665" w:type="dxa"/>
          </w:tcPr>
          <w:p w14:paraId="1DEC7E45" w14:textId="65941806" w:rsidR="006507A9" w:rsidRPr="006507A9" w:rsidRDefault="006507A9" w:rsidP="006B591B">
            <w:pPr>
              <w:rPr>
                <w:sz w:val="22"/>
                <w:szCs w:val="22"/>
              </w:rPr>
            </w:pPr>
            <w:r>
              <w:rPr>
                <w:b/>
                <w:sz w:val="22"/>
                <w:szCs w:val="22"/>
              </w:rPr>
              <w:t xml:space="preserve">Author/Year: </w:t>
            </w:r>
            <w:r>
              <w:rPr>
                <w:sz w:val="22"/>
                <w:szCs w:val="22"/>
              </w:rPr>
              <w:t>Dijkstra, et. al./ 1997</w:t>
            </w:r>
            <w:r w:rsidR="008D3362">
              <w:rPr>
                <w:sz w:val="22"/>
                <w:szCs w:val="22"/>
              </w:rPr>
              <w:fldChar w:fldCharType="begin"/>
            </w:r>
            <w:r w:rsidR="008D3362">
              <w:rPr>
                <w:sz w:val="22"/>
                <w:szCs w:val="22"/>
              </w:rPr>
              <w:instrText>ADDIN F1000_CSL_CITATION&lt;~#@#~&gt;[{"title":"Prediction of pathological subtrochanteric fractures due to metastatic lesions","id":"6529662","page":"221-224","type":"article-journal","volume":"116","author":[{"family":"Dijkstra","given":"P D S"},{"family":"Oudkerk","given":"M"},{"family":"Wiggers","given":"T"}],"issued":{"date-parts":[["1997"]]},"container-title":"Archives of orthopaedic and trauma surgery","container-title-short":"Arch Orthop Trauma Surg","journalAbbreviation":"Arch Orthop Trauma Surg","citation-label":"6529662"}]</w:instrText>
            </w:r>
            <w:r w:rsidR="008D3362">
              <w:rPr>
                <w:sz w:val="22"/>
                <w:szCs w:val="22"/>
              </w:rPr>
              <w:fldChar w:fldCharType="separate"/>
            </w:r>
            <w:r w:rsidR="008D3362" w:rsidRPr="008D3362">
              <w:rPr>
                <w:sz w:val="22"/>
                <w:szCs w:val="22"/>
                <w:vertAlign w:val="superscript"/>
              </w:rPr>
              <w:t>7</w:t>
            </w:r>
            <w:r w:rsidR="008D3362">
              <w:rPr>
                <w:sz w:val="22"/>
                <w:szCs w:val="22"/>
              </w:rPr>
              <w:fldChar w:fldCharType="end"/>
            </w:r>
          </w:p>
          <w:p w14:paraId="34561B5D" w14:textId="0F18F4A2" w:rsidR="006507A9" w:rsidRPr="006507A9" w:rsidRDefault="006507A9" w:rsidP="006B591B">
            <w:pPr>
              <w:rPr>
                <w:sz w:val="22"/>
                <w:szCs w:val="22"/>
              </w:rPr>
            </w:pPr>
            <w:r>
              <w:rPr>
                <w:b/>
                <w:sz w:val="22"/>
                <w:szCs w:val="22"/>
              </w:rPr>
              <w:t xml:space="preserve">Study Design: </w:t>
            </w:r>
            <w:r>
              <w:rPr>
                <w:sz w:val="22"/>
                <w:szCs w:val="22"/>
              </w:rPr>
              <w:t>Retrospective Review</w:t>
            </w:r>
          </w:p>
        </w:tc>
        <w:tc>
          <w:tcPr>
            <w:tcW w:w="1563" w:type="dxa"/>
          </w:tcPr>
          <w:p w14:paraId="666492C7" w14:textId="58D46AA4" w:rsidR="006507A9" w:rsidRPr="000B6756" w:rsidRDefault="00CC45A4" w:rsidP="006B591B">
            <w:pPr>
              <w:rPr>
                <w:sz w:val="22"/>
                <w:szCs w:val="22"/>
              </w:rPr>
            </w:pPr>
            <w:r>
              <w:rPr>
                <w:sz w:val="22"/>
                <w:szCs w:val="22"/>
              </w:rPr>
              <w:t xml:space="preserve">Review patients with impending and actual fractures due to metastatic bone lesions in femur and develop a </w:t>
            </w:r>
            <w:proofErr w:type="gramStart"/>
            <w:r>
              <w:rPr>
                <w:sz w:val="22"/>
                <w:szCs w:val="22"/>
              </w:rPr>
              <w:t>criteria</w:t>
            </w:r>
            <w:proofErr w:type="gramEnd"/>
            <w:r>
              <w:rPr>
                <w:sz w:val="22"/>
                <w:szCs w:val="22"/>
              </w:rPr>
              <w:t xml:space="preserve"> for </w:t>
            </w:r>
            <w:r>
              <w:rPr>
                <w:sz w:val="22"/>
                <w:szCs w:val="22"/>
              </w:rPr>
              <w:lastRenderedPageBreak/>
              <w:t>lesions at risk of fracturing</w:t>
            </w:r>
          </w:p>
        </w:tc>
        <w:tc>
          <w:tcPr>
            <w:tcW w:w="1763" w:type="dxa"/>
          </w:tcPr>
          <w:p w14:paraId="3B5FCDE3" w14:textId="23FB9A6A" w:rsidR="006507A9" w:rsidRPr="000B6756" w:rsidRDefault="00CC45A4" w:rsidP="006B591B">
            <w:pPr>
              <w:rPr>
                <w:sz w:val="22"/>
                <w:szCs w:val="22"/>
              </w:rPr>
            </w:pPr>
            <w:r>
              <w:rPr>
                <w:sz w:val="22"/>
                <w:szCs w:val="22"/>
              </w:rPr>
              <w:lastRenderedPageBreak/>
              <w:t>54 patients</w:t>
            </w:r>
            <w:r w:rsidR="006B7182">
              <w:rPr>
                <w:sz w:val="22"/>
                <w:szCs w:val="22"/>
              </w:rPr>
              <w:t xml:space="preserve"> (43 women and 11 men)</w:t>
            </w:r>
            <w:r>
              <w:rPr>
                <w:sz w:val="22"/>
                <w:szCs w:val="22"/>
              </w:rPr>
              <w:t xml:space="preserve"> </w:t>
            </w:r>
            <w:r w:rsidR="006B7182">
              <w:rPr>
                <w:sz w:val="22"/>
                <w:szCs w:val="22"/>
              </w:rPr>
              <w:t xml:space="preserve">aged 24-85 years old </w:t>
            </w:r>
            <w:r>
              <w:rPr>
                <w:sz w:val="22"/>
                <w:szCs w:val="22"/>
              </w:rPr>
              <w:t xml:space="preserve">with 30 impending and 24 actual pathological fractures in subtrochanteric femoral region </w:t>
            </w:r>
            <w:r>
              <w:rPr>
                <w:sz w:val="22"/>
                <w:szCs w:val="22"/>
              </w:rPr>
              <w:lastRenderedPageBreak/>
              <w:t>treated from 1978-1990</w:t>
            </w:r>
          </w:p>
        </w:tc>
        <w:tc>
          <w:tcPr>
            <w:tcW w:w="2191" w:type="dxa"/>
          </w:tcPr>
          <w:p w14:paraId="656A3F06" w14:textId="1BB4C96B" w:rsidR="006507A9" w:rsidRPr="000B6756" w:rsidRDefault="006B7182" w:rsidP="006B591B">
            <w:pPr>
              <w:rPr>
                <w:sz w:val="22"/>
                <w:szCs w:val="22"/>
              </w:rPr>
            </w:pPr>
            <w:r>
              <w:rPr>
                <w:sz w:val="22"/>
                <w:szCs w:val="22"/>
              </w:rPr>
              <w:lastRenderedPageBreak/>
              <w:t>Fracture rate among lesions</w:t>
            </w:r>
            <w:r w:rsidR="00C95A62">
              <w:rPr>
                <w:sz w:val="22"/>
                <w:szCs w:val="22"/>
              </w:rPr>
              <w:t xml:space="preserve"> and factors increasing fracture risk</w:t>
            </w:r>
          </w:p>
        </w:tc>
        <w:tc>
          <w:tcPr>
            <w:tcW w:w="2672" w:type="dxa"/>
          </w:tcPr>
          <w:p w14:paraId="4A86DDB2" w14:textId="77777777" w:rsidR="006507A9" w:rsidRDefault="006B7182" w:rsidP="006B591B">
            <w:pPr>
              <w:rPr>
                <w:sz w:val="22"/>
                <w:szCs w:val="22"/>
              </w:rPr>
            </w:pPr>
            <w:r>
              <w:rPr>
                <w:sz w:val="22"/>
                <w:szCs w:val="22"/>
              </w:rPr>
              <w:t xml:space="preserve">- </w:t>
            </w:r>
            <w:r w:rsidR="0073450B" w:rsidRPr="00F108EA">
              <w:rPr>
                <w:b/>
                <w:sz w:val="22"/>
                <w:szCs w:val="22"/>
              </w:rPr>
              <w:t>Local pain occurred in 41 patients (78%)</w:t>
            </w:r>
            <w:r w:rsidR="0073450B">
              <w:rPr>
                <w:sz w:val="22"/>
                <w:szCs w:val="22"/>
              </w:rPr>
              <w:t xml:space="preserve"> within 14 weeks before fracturing</w:t>
            </w:r>
          </w:p>
          <w:p w14:paraId="47A43CE4" w14:textId="77777777" w:rsidR="0073450B" w:rsidRDefault="0073450B" w:rsidP="006B591B">
            <w:pPr>
              <w:rPr>
                <w:sz w:val="22"/>
                <w:szCs w:val="22"/>
              </w:rPr>
            </w:pPr>
            <w:r>
              <w:rPr>
                <w:sz w:val="22"/>
                <w:szCs w:val="22"/>
              </w:rPr>
              <w:t>- One-third of patients with an impending (11/30) or actual (9/24) fracture complained of initial pain within 3 months before surgery</w:t>
            </w:r>
          </w:p>
          <w:p w14:paraId="065F22ED" w14:textId="77777777" w:rsidR="0073450B" w:rsidRDefault="0073450B" w:rsidP="006B591B">
            <w:pPr>
              <w:rPr>
                <w:sz w:val="22"/>
                <w:szCs w:val="22"/>
              </w:rPr>
            </w:pPr>
            <w:r>
              <w:rPr>
                <w:sz w:val="22"/>
                <w:szCs w:val="22"/>
              </w:rPr>
              <w:lastRenderedPageBreak/>
              <w:t xml:space="preserve">- </w:t>
            </w:r>
            <w:r w:rsidRPr="00F108EA">
              <w:rPr>
                <w:b/>
                <w:sz w:val="22"/>
                <w:szCs w:val="22"/>
              </w:rPr>
              <w:t>5/6 patients complained of aggravating pain that resulted in fracture</w:t>
            </w:r>
          </w:p>
          <w:p w14:paraId="0662719F" w14:textId="77777777" w:rsidR="005B3B43" w:rsidRDefault="005B3B43" w:rsidP="006B591B">
            <w:pPr>
              <w:rPr>
                <w:sz w:val="22"/>
                <w:szCs w:val="22"/>
              </w:rPr>
            </w:pPr>
            <w:r>
              <w:rPr>
                <w:sz w:val="22"/>
                <w:szCs w:val="22"/>
              </w:rPr>
              <w:t>- Pre-fracture pain reported to occur in 11-84% of patients who have fractures</w:t>
            </w:r>
          </w:p>
          <w:p w14:paraId="3800C6E9" w14:textId="31043B52" w:rsidR="005B3B43" w:rsidRPr="000B6756" w:rsidRDefault="005B3B43" w:rsidP="006B591B">
            <w:pPr>
              <w:rPr>
                <w:sz w:val="22"/>
                <w:szCs w:val="22"/>
              </w:rPr>
            </w:pPr>
            <w:r>
              <w:rPr>
                <w:sz w:val="22"/>
                <w:szCs w:val="22"/>
              </w:rPr>
              <w:t xml:space="preserve">- </w:t>
            </w:r>
            <w:r w:rsidRPr="00F108EA">
              <w:rPr>
                <w:b/>
                <w:sz w:val="22"/>
                <w:szCs w:val="22"/>
              </w:rPr>
              <w:t>Increasing local pain</w:t>
            </w:r>
            <w:r w:rsidR="00F108EA" w:rsidRPr="00F108EA">
              <w:rPr>
                <w:b/>
                <w:sz w:val="22"/>
                <w:szCs w:val="22"/>
              </w:rPr>
              <w:t xml:space="preserve"> was a predictive factor of an actual fracture occurring within 2 months</w:t>
            </w:r>
          </w:p>
        </w:tc>
        <w:tc>
          <w:tcPr>
            <w:tcW w:w="3096" w:type="dxa"/>
          </w:tcPr>
          <w:p w14:paraId="7E95BD21" w14:textId="2940E4BA" w:rsidR="006507A9" w:rsidRPr="00726BB7" w:rsidRDefault="00F108EA" w:rsidP="006B591B">
            <w:pPr>
              <w:rPr>
                <w:sz w:val="22"/>
                <w:szCs w:val="22"/>
              </w:rPr>
            </w:pPr>
            <w:r>
              <w:rPr>
                <w:b/>
                <w:sz w:val="22"/>
                <w:szCs w:val="22"/>
              </w:rPr>
              <w:lastRenderedPageBreak/>
              <w:t>Strengths:</w:t>
            </w:r>
            <w:r w:rsidR="00726BB7">
              <w:rPr>
                <w:b/>
                <w:sz w:val="22"/>
                <w:szCs w:val="22"/>
              </w:rPr>
              <w:t xml:space="preserve"> </w:t>
            </w:r>
            <w:r w:rsidR="00726BB7">
              <w:rPr>
                <w:sz w:val="22"/>
                <w:szCs w:val="22"/>
              </w:rPr>
              <w:t xml:space="preserve">results correlated with other more recent review studies, looked at actual versus impending fracture to determine fracture risk, review large time span of review studies, </w:t>
            </w:r>
            <w:r w:rsidR="001D2CF0">
              <w:rPr>
                <w:sz w:val="22"/>
                <w:szCs w:val="22"/>
              </w:rPr>
              <w:t>included patients with different kinds of metastatic disease</w:t>
            </w:r>
          </w:p>
          <w:p w14:paraId="10DBAA8B" w14:textId="673F888C" w:rsidR="00F108EA" w:rsidRPr="00F108EA" w:rsidRDefault="00F108EA" w:rsidP="006B591B">
            <w:pPr>
              <w:rPr>
                <w:sz w:val="22"/>
                <w:szCs w:val="22"/>
              </w:rPr>
            </w:pPr>
            <w:r>
              <w:rPr>
                <w:b/>
                <w:sz w:val="22"/>
                <w:szCs w:val="22"/>
              </w:rPr>
              <w:t xml:space="preserve">Limitations: </w:t>
            </w:r>
            <w:r>
              <w:rPr>
                <w:sz w:val="22"/>
                <w:szCs w:val="22"/>
              </w:rPr>
              <w:t xml:space="preserve">retrospective review, older article, small </w:t>
            </w:r>
            <w:r>
              <w:rPr>
                <w:sz w:val="22"/>
                <w:szCs w:val="22"/>
              </w:rPr>
              <w:lastRenderedPageBreak/>
              <w:t>sample size</w:t>
            </w:r>
            <w:r w:rsidR="00831173">
              <w:rPr>
                <w:sz w:val="22"/>
                <w:szCs w:val="22"/>
              </w:rPr>
              <w:t>, lower quality evidence studies were included</w:t>
            </w:r>
          </w:p>
        </w:tc>
      </w:tr>
      <w:tr w:rsidR="00B452B0" w14:paraId="79E3D732" w14:textId="77777777" w:rsidTr="004864AD">
        <w:tc>
          <w:tcPr>
            <w:tcW w:w="1665" w:type="dxa"/>
          </w:tcPr>
          <w:p w14:paraId="7BE793D3" w14:textId="7C371F32" w:rsidR="006B591B" w:rsidRPr="000B6756" w:rsidRDefault="006B591B" w:rsidP="006B591B">
            <w:pPr>
              <w:rPr>
                <w:sz w:val="22"/>
                <w:szCs w:val="22"/>
              </w:rPr>
            </w:pPr>
            <w:r w:rsidRPr="000B6756">
              <w:rPr>
                <w:b/>
                <w:sz w:val="22"/>
                <w:szCs w:val="22"/>
              </w:rPr>
              <w:lastRenderedPageBreak/>
              <w:t xml:space="preserve">Author/Year: </w:t>
            </w:r>
            <w:proofErr w:type="spellStart"/>
            <w:r w:rsidRPr="000B6756">
              <w:rPr>
                <w:sz w:val="22"/>
                <w:szCs w:val="22"/>
              </w:rPr>
              <w:t>Sheill</w:t>
            </w:r>
            <w:proofErr w:type="spellEnd"/>
            <w:r w:rsidRPr="000B6756">
              <w:rPr>
                <w:sz w:val="22"/>
                <w:szCs w:val="22"/>
              </w:rPr>
              <w:t>, et. al./ 2018</w:t>
            </w:r>
            <w:r w:rsidR="008D3362">
              <w:rPr>
                <w:sz w:val="22"/>
                <w:szCs w:val="22"/>
              </w:rPr>
              <w:fldChar w:fldCharType="begin"/>
            </w:r>
            <w:r w:rsidR="008D3362">
              <w:rPr>
                <w:sz w:val="22"/>
                <w:szCs w:val="22"/>
              </w:rPr>
              <w:instrText>ADDIN F1000_CSL_CITATION&lt;~#@#~&gt;[{"title":"Considerations for exercise prescription in patients with bone metastases: A comprehensive narrative review.","id":"5961666","page":"843-864","type":"article-journal","volume":"10","issue":"8","author":[{"family":"Sheill","given":"Gráinne"},{"family":"Guinan","given":"Emer M"},{"family":"Peat","given":"Nicola"},{"family":"Hussey","given":"Juliette"}],"issued":{"date-parts":[["2018","8"]]},"container-title":"PM &amp; R : the journal of injury, function, and rehabilitation","container-title-short":"PM R","journalAbbreviation":"PM R","DOI":"10.1016/j.pmrj.2018.02.006","PMID":"29474996","citation-label":"5961666","Abstract":"Metastatic disease is a frequent complication of advanced cancer, with bone representing one of the most common sites of metastatic occurrence. Patients with bone metastases receive long-term systemic treatments that have a significant attritional impact on muscle strength, fatigue, and physical functioning. Physical rehabilitation involving exercise and physical activity prescription has a considerable role in counteracting these changes; however, exercise is often perceived as a contraindication in the presence of bone metastases due to concerns about aggravating skeletal related events. This article examines the physical sequelae of bone metastases and outlines the factors for consideration with exercise prescription in metastatic bone disease, including bone health, pain levels, and oncologic treatment. This article includes a comprehensive review of the evidence from trials of exercise prescription in this population, including the efficacy and safety outcomes of exercise interventions. Exercise interventions for patients with bone metastases are associated with positive physical and self-reported outcomes. Studies reviewed reporting adverse events did not find a high fracture incidence with exercise in comparison with control participants, or an association between exercise and fracture risk. The need to individualize exercise prescription and adapt exercises to patient ability were reinforced in all papers reviewed. Exercise prescription to patients with bone metastases does involve complex decision making; however, a number of tools are available that may inform both the assessment of patients and the prescription of exercise.&lt;br&gt;&lt;br&gt;&lt;strong&gt;LEVEL OF EVIDENCE:&lt;/strong&gt; NA.&lt;br&gt;&lt;br&gt;Copyright © 2018 American Academy of Physical Medicine and Rehabilitation. Published by Elsevier Inc. All rights reserved.","CleanAbstract":"Metastatic disease is a frequent complication of advanced cancer, with bone representing one of the most common sites of metastatic occurrence. Patients with bone metastases receive long-term systemic treatments that have a significant attritional impact on muscle strength, fatigue, and physical functioning. Physical rehabilitation involving exercise and physical activity prescription has a considerable role in counteracting these changes; however, exercise is often perceived as a contraindication in the presence of bone metastases due to concerns about aggravating skeletal related events. This article examines the physical sequelae of bone metastases and outlines the factors for consideration with exercise prescription in metastatic bone disease, including bone health, pain levels, and oncologic treatment. This article includes a comprehensive review of the evidence from trials of exercise prescription in this population, including the efficacy and safety outcomes of exercise interventions. Exercise interventions for patients with bone metastases are associated with positive physical and self-reported outcomes. Studies reviewed reporting adverse events did not find a high fracture incidence with exercise in comparison with control participants, or an association between exercise and fracture risk. The need to individualize exercise prescription and adapt exercises to patient ability were reinforced in all papers reviewed. Exercise prescription to patients with bone metastases does involve complex decision making; however, a number of tools are available that may inform both the assessment of patients and the prescription of exercise.LEVEL OF EVIDENCE: NA.Copyright © 2018 American Academy of Physical Medicine and Rehabilitation. Published by Elsevier Inc. All rights reserved."}]</w:instrText>
            </w:r>
            <w:r w:rsidR="008D3362">
              <w:rPr>
                <w:sz w:val="22"/>
                <w:szCs w:val="22"/>
              </w:rPr>
              <w:fldChar w:fldCharType="separate"/>
            </w:r>
            <w:r w:rsidR="008D3362" w:rsidRPr="008D3362">
              <w:rPr>
                <w:sz w:val="22"/>
                <w:szCs w:val="22"/>
                <w:vertAlign w:val="superscript"/>
              </w:rPr>
              <w:t>8</w:t>
            </w:r>
            <w:r w:rsidR="008D3362">
              <w:rPr>
                <w:sz w:val="22"/>
                <w:szCs w:val="22"/>
              </w:rPr>
              <w:fldChar w:fldCharType="end"/>
            </w:r>
          </w:p>
          <w:p w14:paraId="41DF3C48" w14:textId="522C3ED0" w:rsidR="006B591B" w:rsidRPr="000B6756" w:rsidRDefault="006B591B" w:rsidP="006B591B">
            <w:pPr>
              <w:rPr>
                <w:sz w:val="22"/>
                <w:szCs w:val="22"/>
              </w:rPr>
            </w:pPr>
            <w:r w:rsidRPr="000B6756">
              <w:rPr>
                <w:b/>
                <w:sz w:val="22"/>
                <w:szCs w:val="22"/>
              </w:rPr>
              <w:t xml:space="preserve">Study Design: </w:t>
            </w:r>
            <w:r w:rsidRPr="000B6756">
              <w:rPr>
                <w:sz w:val="22"/>
                <w:szCs w:val="22"/>
              </w:rPr>
              <w:t>Narrative review</w:t>
            </w:r>
          </w:p>
        </w:tc>
        <w:tc>
          <w:tcPr>
            <w:tcW w:w="1563" w:type="dxa"/>
          </w:tcPr>
          <w:p w14:paraId="2C185E3D" w14:textId="55F574D1" w:rsidR="006B591B" w:rsidRPr="000B6756" w:rsidRDefault="006B591B" w:rsidP="006B591B">
            <w:pPr>
              <w:rPr>
                <w:sz w:val="22"/>
                <w:szCs w:val="22"/>
              </w:rPr>
            </w:pPr>
            <w:r w:rsidRPr="000B6756">
              <w:rPr>
                <w:sz w:val="22"/>
                <w:szCs w:val="22"/>
              </w:rPr>
              <w:t>Examine factors for consideration with exercise prescription in metastatic bone disease, review evidence from trials of exercise prescription in this population, and examine the efficacy and safety outcomes of exercise interventions</w:t>
            </w:r>
          </w:p>
        </w:tc>
        <w:tc>
          <w:tcPr>
            <w:tcW w:w="1763" w:type="dxa"/>
          </w:tcPr>
          <w:p w14:paraId="7E434B68" w14:textId="4CEDE2A3" w:rsidR="006B591B" w:rsidRPr="000B6756" w:rsidRDefault="006B591B" w:rsidP="006B591B">
            <w:pPr>
              <w:rPr>
                <w:sz w:val="22"/>
                <w:szCs w:val="22"/>
              </w:rPr>
            </w:pPr>
            <w:r w:rsidRPr="000B6756">
              <w:rPr>
                <w:sz w:val="22"/>
                <w:szCs w:val="22"/>
              </w:rPr>
              <w:t xml:space="preserve">- 11 studies were included (7 RCTs, 3 single arm studies, 1 multi-arm interventional study) </w:t>
            </w:r>
          </w:p>
          <w:p w14:paraId="3DE419F6" w14:textId="426CD561" w:rsidR="006B591B" w:rsidRPr="000B6756" w:rsidRDefault="006B591B" w:rsidP="006B591B">
            <w:pPr>
              <w:rPr>
                <w:sz w:val="22"/>
                <w:szCs w:val="22"/>
              </w:rPr>
            </w:pPr>
            <w:r w:rsidRPr="000B6756">
              <w:rPr>
                <w:sz w:val="22"/>
                <w:szCs w:val="22"/>
              </w:rPr>
              <w:t>- Total of 593 patients were included</w:t>
            </w:r>
            <w:r>
              <w:rPr>
                <w:sz w:val="22"/>
                <w:szCs w:val="22"/>
              </w:rPr>
              <w:t xml:space="preserve"> </w:t>
            </w:r>
            <w:r w:rsidRPr="000B6756">
              <w:rPr>
                <w:sz w:val="22"/>
                <w:szCs w:val="22"/>
              </w:rPr>
              <w:t>with metastatic disease as a result of solid primary tumors</w:t>
            </w:r>
          </w:p>
        </w:tc>
        <w:tc>
          <w:tcPr>
            <w:tcW w:w="2191" w:type="dxa"/>
          </w:tcPr>
          <w:p w14:paraId="6D58483E" w14:textId="77777777" w:rsidR="006B591B" w:rsidRDefault="006B591B" w:rsidP="006B591B">
            <w:pPr>
              <w:rPr>
                <w:sz w:val="22"/>
                <w:szCs w:val="22"/>
              </w:rPr>
            </w:pPr>
            <w:r w:rsidRPr="000B6756">
              <w:rPr>
                <w:sz w:val="22"/>
                <w:szCs w:val="22"/>
              </w:rPr>
              <w:t>- Results of the literature search were screened by 2 authors for inclusion criteria</w:t>
            </w:r>
          </w:p>
          <w:p w14:paraId="08DF2F34" w14:textId="77777777" w:rsidR="006B591B" w:rsidRDefault="006B591B" w:rsidP="006B591B">
            <w:pPr>
              <w:rPr>
                <w:sz w:val="22"/>
                <w:szCs w:val="22"/>
              </w:rPr>
            </w:pPr>
            <w:r>
              <w:rPr>
                <w:sz w:val="22"/>
                <w:szCs w:val="22"/>
              </w:rPr>
              <w:t xml:space="preserve">- </w:t>
            </w:r>
            <w:proofErr w:type="spellStart"/>
            <w:r>
              <w:rPr>
                <w:sz w:val="22"/>
                <w:szCs w:val="22"/>
              </w:rPr>
              <w:t>Mirels</w:t>
            </w:r>
            <w:proofErr w:type="spellEnd"/>
            <w:r>
              <w:rPr>
                <w:sz w:val="22"/>
                <w:szCs w:val="22"/>
              </w:rPr>
              <w:t>’ classification system</w:t>
            </w:r>
          </w:p>
          <w:p w14:paraId="72C4B700" w14:textId="13F6B68C" w:rsidR="00900C2C" w:rsidRPr="000B6756" w:rsidRDefault="00900C2C" w:rsidP="006B591B">
            <w:pPr>
              <w:rPr>
                <w:sz w:val="22"/>
                <w:szCs w:val="22"/>
              </w:rPr>
            </w:pPr>
            <w:r>
              <w:rPr>
                <w:sz w:val="22"/>
                <w:szCs w:val="22"/>
              </w:rPr>
              <w:t>- Fracture rate and factors related to increased risk</w:t>
            </w:r>
          </w:p>
        </w:tc>
        <w:tc>
          <w:tcPr>
            <w:tcW w:w="2672" w:type="dxa"/>
          </w:tcPr>
          <w:p w14:paraId="3F02A646" w14:textId="77777777" w:rsidR="006B591B" w:rsidRPr="000B6756" w:rsidRDefault="006B591B" w:rsidP="006B591B">
            <w:pPr>
              <w:rPr>
                <w:sz w:val="22"/>
                <w:szCs w:val="22"/>
              </w:rPr>
            </w:pPr>
            <w:r w:rsidRPr="000B6756">
              <w:rPr>
                <w:sz w:val="22"/>
                <w:szCs w:val="22"/>
              </w:rPr>
              <w:t xml:space="preserve">- </w:t>
            </w:r>
            <w:r w:rsidRPr="00236552">
              <w:rPr>
                <w:b/>
                <w:sz w:val="22"/>
                <w:szCs w:val="22"/>
              </w:rPr>
              <w:t>Steroid use is a strong independent risk factor for fractures</w:t>
            </w:r>
          </w:p>
          <w:p w14:paraId="1A13CF84" w14:textId="77777777" w:rsidR="006B591B" w:rsidRPr="000B6756" w:rsidRDefault="006B591B" w:rsidP="006B591B">
            <w:pPr>
              <w:rPr>
                <w:sz w:val="22"/>
                <w:szCs w:val="22"/>
              </w:rPr>
            </w:pPr>
            <w:r w:rsidRPr="000B6756">
              <w:rPr>
                <w:sz w:val="22"/>
                <w:szCs w:val="22"/>
              </w:rPr>
              <w:t xml:space="preserve">- </w:t>
            </w:r>
            <w:r w:rsidRPr="00236552">
              <w:rPr>
                <w:b/>
                <w:sz w:val="22"/>
                <w:szCs w:val="22"/>
              </w:rPr>
              <w:t>Androgen-deprivation therapy for prostate cancer increases fracture risk by 20-45%</w:t>
            </w:r>
          </w:p>
          <w:p w14:paraId="5DE57BCE" w14:textId="77777777" w:rsidR="006B591B" w:rsidRPr="000B6756" w:rsidRDefault="006B591B" w:rsidP="006B591B">
            <w:pPr>
              <w:rPr>
                <w:sz w:val="22"/>
                <w:szCs w:val="22"/>
              </w:rPr>
            </w:pPr>
            <w:r w:rsidRPr="000B6756">
              <w:rPr>
                <w:sz w:val="22"/>
                <w:szCs w:val="22"/>
              </w:rPr>
              <w:t>-</w:t>
            </w:r>
            <w:proofErr w:type="spellStart"/>
            <w:r w:rsidRPr="000B6756">
              <w:rPr>
                <w:sz w:val="22"/>
                <w:szCs w:val="22"/>
              </w:rPr>
              <w:t>Mirel’s</w:t>
            </w:r>
            <w:proofErr w:type="spellEnd"/>
            <w:r w:rsidRPr="000B6756">
              <w:rPr>
                <w:sz w:val="22"/>
                <w:szCs w:val="22"/>
              </w:rPr>
              <w:t xml:space="preserve"> classification system for bone fracture risk has good sensitivity (91%) but poor specificity (35%)</w:t>
            </w:r>
          </w:p>
          <w:p w14:paraId="61674C82" w14:textId="77777777" w:rsidR="006B591B" w:rsidRPr="000B6756" w:rsidRDefault="006B591B" w:rsidP="006B591B">
            <w:pPr>
              <w:rPr>
                <w:sz w:val="22"/>
                <w:szCs w:val="22"/>
              </w:rPr>
            </w:pPr>
            <w:r w:rsidRPr="000B6756">
              <w:rPr>
                <w:sz w:val="22"/>
                <w:szCs w:val="22"/>
              </w:rPr>
              <w:t>-</w:t>
            </w:r>
            <w:r w:rsidRPr="00236552">
              <w:rPr>
                <w:b/>
                <w:sz w:val="22"/>
                <w:szCs w:val="22"/>
              </w:rPr>
              <w:t>Pain associated with functional activity is associated with greater risk of pathological fracture</w:t>
            </w:r>
          </w:p>
          <w:p w14:paraId="7FAD6385" w14:textId="423F0993" w:rsidR="006B591B" w:rsidRPr="000B6756" w:rsidRDefault="006B591B" w:rsidP="006B591B">
            <w:pPr>
              <w:rPr>
                <w:sz w:val="22"/>
                <w:szCs w:val="22"/>
              </w:rPr>
            </w:pPr>
            <w:r w:rsidRPr="000B6756">
              <w:rPr>
                <w:sz w:val="22"/>
                <w:szCs w:val="22"/>
              </w:rPr>
              <w:t xml:space="preserve">- </w:t>
            </w:r>
            <w:r w:rsidRPr="00236552">
              <w:rPr>
                <w:b/>
                <w:sz w:val="22"/>
                <w:szCs w:val="22"/>
              </w:rPr>
              <w:t>Pain with weight bearing activities can indicate pathological fracture</w:t>
            </w:r>
            <w:r w:rsidRPr="000B6756">
              <w:rPr>
                <w:sz w:val="22"/>
                <w:szCs w:val="22"/>
              </w:rPr>
              <w:t>, especially in lower extremities, therefore, weight bearing should be avoided in the presence of pain</w:t>
            </w:r>
          </w:p>
        </w:tc>
        <w:tc>
          <w:tcPr>
            <w:tcW w:w="3096" w:type="dxa"/>
          </w:tcPr>
          <w:p w14:paraId="72D061C0" w14:textId="65D1F44D" w:rsidR="006B591B" w:rsidRPr="00C04D2A" w:rsidRDefault="006B591B" w:rsidP="006B591B">
            <w:pPr>
              <w:rPr>
                <w:sz w:val="22"/>
                <w:szCs w:val="22"/>
              </w:rPr>
            </w:pPr>
            <w:r w:rsidRPr="009C33EF">
              <w:rPr>
                <w:b/>
                <w:sz w:val="22"/>
                <w:szCs w:val="22"/>
              </w:rPr>
              <w:t xml:space="preserve">Strengths: </w:t>
            </w:r>
            <w:r>
              <w:rPr>
                <w:sz w:val="22"/>
                <w:szCs w:val="22"/>
              </w:rPr>
              <w:t>comprehensive review of evidence from trials of exercise prescription in this population, compared experimental and control groups, large sample size of participants, compared aerobic, resistance, and a combo of both exercise programs</w:t>
            </w:r>
          </w:p>
          <w:p w14:paraId="39CFF481" w14:textId="7F2F407B" w:rsidR="006B591B" w:rsidRPr="00E64CC9" w:rsidRDefault="006B591B" w:rsidP="006B591B">
            <w:pPr>
              <w:rPr>
                <w:sz w:val="22"/>
                <w:szCs w:val="22"/>
              </w:rPr>
            </w:pPr>
            <w:r w:rsidRPr="009C33EF">
              <w:rPr>
                <w:b/>
                <w:sz w:val="22"/>
                <w:szCs w:val="22"/>
              </w:rPr>
              <w:t>Limitations:</w:t>
            </w:r>
            <w:r>
              <w:rPr>
                <w:b/>
                <w:sz w:val="22"/>
                <w:szCs w:val="22"/>
              </w:rPr>
              <w:t xml:space="preserve"> </w:t>
            </w:r>
            <w:r>
              <w:rPr>
                <w:sz w:val="22"/>
                <w:szCs w:val="22"/>
              </w:rPr>
              <w:t xml:space="preserve">narrative review, studies involving animal studies were included, some </w:t>
            </w:r>
            <w:proofErr w:type="gramStart"/>
            <w:r>
              <w:rPr>
                <w:sz w:val="22"/>
                <w:szCs w:val="22"/>
              </w:rPr>
              <w:t>low quality</w:t>
            </w:r>
            <w:proofErr w:type="gramEnd"/>
            <w:r>
              <w:rPr>
                <w:sz w:val="22"/>
                <w:szCs w:val="22"/>
              </w:rPr>
              <w:t xml:space="preserve"> evidence studies were included</w:t>
            </w:r>
          </w:p>
        </w:tc>
      </w:tr>
      <w:tr w:rsidR="00B452B0" w14:paraId="2577B423" w14:textId="5B024691" w:rsidTr="004864AD">
        <w:tc>
          <w:tcPr>
            <w:tcW w:w="1665" w:type="dxa"/>
          </w:tcPr>
          <w:p w14:paraId="013B0196" w14:textId="55A1CDF2" w:rsidR="006B591B" w:rsidRPr="000B6756" w:rsidRDefault="006B591B" w:rsidP="006B591B">
            <w:pPr>
              <w:rPr>
                <w:sz w:val="22"/>
                <w:szCs w:val="22"/>
              </w:rPr>
            </w:pPr>
            <w:r w:rsidRPr="000B6756">
              <w:rPr>
                <w:b/>
                <w:sz w:val="22"/>
                <w:szCs w:val="22"/>
              </w:rPr>
              <w:lastRenderedPageBreak/>
              <w:t xml:space="preserve">Author/Year: </w:t>
            </w:r>
            <w:r w:rsidRPr="000B6756">
              <w:rPr>
                <w:sz w:val="22"/>
                <w:szCs w:val="22"/>
              </w:rPr>
              <w:t>Wang, et. al/ 2015</w:t>
            </w:r>
            <w:r w:rsidR="008D3362">
              <w:rPr>
                <w:sz w:val="22"/>
                <w:szCs w:val="22"/>
              </w:rPr>
              <w:fldChar w:fldCharType="begin"/>
            </w:r>
            <w:r w:rsidR="008D3362">
              <w:rPr>
                <w:sz w:val="22"/>
                <w:szCs w:val="22"/>
              </w:rPr>
              <w:instrText>ADDIN F1000_CSL_CITATION&lt;~#@#~&gt;[{"title":"Risk of fracture in men with prostate cancer on androgen deprivation therapy: a population-based cohort study in New Zealand.","id":"6531793","page":"837","type":"article-journal","volume":"15","author":[{"family":"Wang","given":"Alice"},{"family":"Obertová","given":"Zuzana"},{"family":"Brown","given":"Charis"},{"family":"Karunasinghe","given":"Nishi"},{"family":"Bishop","given":"Karen"},{"family":"Ferguson","given":"Lynnette"},{"family":"Lawrenson","given":"Ross"}],"issued":{"date-parts":[["2015","11","2"]]},"container-title":"BMC Cancer","container-title-short":"BMC Cancer","journalAbbreviation":"BMC Cancer","DOI":"10.1186/s12885-015-1843-3","PMID":"26525985","PMCID":"PMC4631090","citation-label":"6531793","Abstract":"&lt;strong&gt;BACKGROUND:&lt;/strong&gt; Androgen deprivation therapy (ADT) administered as a prostate cancer treatment is known to exert multiple side effects including bone deterioration leading to bone fracture. The current analysis is to evaluate the burden of fracture risk in the New Zealand prostate cancer (PCa) population treated with ADT, and to understand the subsequent risk of mortality after a fracture.&lt;br&gt;&lt;br&gt;&lt;strong&gt;METHODS:&lt;/strong&gt; Using datasets created through linking records from the New Zealand Cancer Registry, National Minimal Dataset, Pharmaceutical Collection and Mortality Collection, we studied 25,544 men (aged ≥40 years) diagnosed with PCa between 2004 and 2012. ADT was categorised into the following groups: gonadotropin-releasing hormone (GnRH) agonists, anti-androgens, combined androgen blockade (GnRH agonists plus anti-androgens), bilateral orchiectomy, and bilateral orchiectomy plus pharmacologic ADT (anti-androgens and/or GnRH agonists).&lt;br&gt;&lt;br&gt;&lt;strong&gt;RESULTS:&lt;/strong&gt; Among patients receiving ADT, 10.8 % had a fracture compared to 3.2 % of those not receiving ADT (p &lt;  0.0001). After controlling for age and ethnicity, the use of ADT was associated with a significantly increased risk of any fracture (OR = 2.83; 95 % CI 2.52-3.17) and of hip fracture requiring hospitalisation (OR = 1.82; 95 % CI 1.44-2.30). Those who received combined androgen blockade (OR = 3.48; 95 % CI 3.07-3.96) and bilateral orchiectomy with pharmacologic ADT (OR = 4.32; 95 % CI 3.34-5.58) had the greatest risk of fracture. The fracture risk following different types of ADT was confounded by pathologic fractures and spinal cord compression (SCC). ADT recipients with fractures had a 1.83-fold (95 % CI 1.68-1.99) higher mortality risk than those without a fracture. However, after the exclusion of pathologic fractures and SCC, there was no increased risk of mortality.&lt;br&gt;&lt;br&gt;&lt;strong&gt;CONCLUSIONS:&lt;/strong&gt; ADT was significantly associated with an increased risk of any fracture and hip fracture requiring hospitalisation. The excess risk was partly driven by pathologic fractures and SCC which are associated with decreased survival in ADT users. Identification of those at higher risk of fracture and close monitoring of bone health while on ADT is an important factor to consider. This may require monitoring of bone density and bone marker profiles.","CleanAbstract":"BACKGROUND: Androgen deprivation therapy (ADT) administered as a prostate cancer treatment is known to exert multiple side effects including bone deterioration leading to bone fracture. The current analysis is to evaluate the burden of fracture risk in the New Zealand prostate cancer (PCa) population treated with ADT, and to understand the subsequent risk of mortality after a fracture.METHODS: Using datasets created through linking records from the New Zealand Cancer Registry, National Minimal Dataset, Pharmaceutical Collection and Mortality Collection, we studied 25,544 men (aged ≥40 years) diagnosed with PCa between 2004 and 2012. ADT was categorised into the following groups: gonadotropin-releasing hormone (GnRH) agonists, anti-androgens, combined androgen blockade (GnRH agonists plus anti-androgens), bilateral orchiectomy, and bilateral orchiectomy plus pharmacologic ADT (anti-androgens and/or GnRH agonists).RESULTS: Among patients receiving ADT, 10.8 % had a fracture compared to 3.2 % of those not receiving ADT (p CONCLUSIONS: ADT was significantly associated with an increased risk of any fracture and hip fracture requiring hospitalisation. The excess risk was partly driven by pathologic fractures and SCC which are associated with decreased survival in ADT users. Identification of those at higher risk of fracture and close monitoring of bone health while on ADT is an important factor to consider. This may require monitoring of bone density and bone marker profiles."}]</w:instrText>
            </w:r>
            <w:r w:rsidR="008D3362">
              <w:rPr>
                <w:sz w:val="22"/>
                <w:szCs w:val="22"/>
              </w:rPr>
              <w:fldChar w:fldCharType="separate"/>
            </w:r>
            <w:r w:rsidR="008D3362" w:rsidRPr="008D3362">
              <w:rPr>
                <w:sz w:val="22"/>
                <w:szCs w:val="22"/>
                <w:vertAlign w:val="superscript"/>
              </w:rPr>
              <w:t>9</w:t>
            </w:r>
            <w:r w:rsidR="008D3362">
              <w:rPr>
                <w:sz w:val="22"/>
                <w:szCs w:val="22"/>
              </w:rPr>
              <w:fldChar w:fldCharType="end"/>
            </w:r>
          </w:p>
          <w:p w14:paraId="7F069D07" w14:textId="6311342B" w:rsidR="006B591B" w:rsidRPr="000B6756" w:rsidRDefault="006B591B" w:rsidP="006B591B">
            <w:pPr>
              <w:rPr>
                <w:sz w:val="22"/>
                <w:szCs w:val="22"/>
              </w:rPr>
            </w:pPr>
            <w:r w:rsidRPr="000B6756">
              <w:rPr>
                <w:b/>
                <w:sz w:val="22"/>
                <w:szCs w:val="22"/>
              </w:rPr>
              <w:t xml:space="preserve">Study Design: </w:t>
            </w:r>
            <w:r w:rsidRPr="000B6756">
              <w:rPr>
                <w:sz w:val="22"/>
                <w:szCs w:val="22"/>
              </w:rPr>
              <w:t xml:space="preserve">Cohort study </w:t>
            </w:r>
          </w:p>
        </w:tc>
        <w:tc>
          <w:tcPr>
            <w:tcW w:w="1563" w:type="dxa"/>
          </w:tcPr>
          <w:p w14:paraId="3BC32209" w14:textId="044E10F1" w:rsidR="006B591B" w:rsidRPr="000B6756" w:rsidRDefault="006B591B" w:rsidP="006B591B">
            <w:pPr>
              <w:rPr>
                <w:sz w:val="22"/>
                <w:szCs w:val="22"/>
              </w:rPr>
            </w:pPr>
            <w:r w:rsidRPr="000B6756">
              <w:rPr>
                <w:sz w:val="22"/>
                <w:szCs w:val="22"/>
              </w:rPr>
              <w:t>Evaluate fracture risk in prostate cancer population treated with ADT, association between different types of ADT and risk of fractures, and understand risk of mortality after cancer</w:t>
            </w:r>
          </w:p>
        </w:tc>
        <w:tc>
          <w:tcPr>
            <w:tcW w:w="1763" w:type="dxa"/>
          </w:tcPr>
          <w:p w14:paraId="36802715" w14:textId="6E2D77CB" w:rsidR="006B591B" w:rsidRPr="000B6756" w:rsidRDefault="006B591B" w:rsidP="006B591B">
            <w:pPr>
              <w:rPr>
                <w:sz w:val="22"/>
                <w:szCs w:val="22"/>
              </w:rPr>
            </w:pPr>
            <w:r w:rsidRPr="000B6756">
              <w:rPr>
                <w:sz w:val="22"/>
                <w:szCs w:val="22"/>
              </w:rPr>
              <w:t xml:space="preserve">- 25,544 men diagnosed with prostate cancer </w:t>
            </w:r>
            <w:r>
              <w:rPr>
                <w:sz w:val="22"/>
                <w:szCs w:val="22"/>
              </w:rPr>
              <w:t xml:space="preserve">between 2004-2012 </w:t>
            </w:r>
            <w:r w:rsidRPr="000B6756">
              <w:rPr>
                <w:sz w:val="22"/>
                <w:szCs w:val="22"/>
              </w:rPr>
              <w:t>from the New Zealand registry</w:t>
            </w:r>
            <w:r>
              <w:rPr>
                <w:sz w:val="22"/>
                <w:szCs w:val="22"/>
              </w:rPr>
              <w:t xml:space="preserve"> and had treatment using ADT</w:t>
            </w:r>
          </w:p>
          <w:p w14:paraId="5176E0A7" w14:textId="77777777" w:rsidR="006B591B" w:rsidRPr="000B6756" w:rsidRDefault="006B591B" w:rsidP="006B591B">
            <w:pPr>
              <w:rPr>
                <w:sz w:val="22"/>
                <w:szCs w:val="22"/>
              </w:rPr>
            </w:pPr>
          </w:p>
          <w:p w14:paraId="47FD7CED" w14:textId="61598EAC" w:rsidR="006B591B" w:rsidRPr="000B6756" w:rsidRDefault="006B591B" w:rsidP="006B591B">
            <w:pPr>
              <w:rPr>
                <w:sz w:val="22"/>
                <w:szCs w:val="22"/>
              </w:rPr>
            </w:pPr>
          </w:p>
        </w:tc>
        <w:tc>
          <w:tcPr>
            <w:tcW w:w="2191" w:type="dxa"/>
          </w:tcPr>
          <w:p w14:paraId="304E5600" w14:textId="3F235C51" w:rsidR="006B591B" w:rsidRPr="000B6756" w:rsidRDefault="006B591B" w:rsidP="006B591B">
            <w:pPr>
              <w:rPr>
                <w:sz w:val="22"/>
                <w:szCs w:val="22"/>
              </w:rPr>
            </w:pPr>
            <w:r w:rsidRPr="000B6756">
              <w:rPr>
                <w:sz w:val="22"/>
                <w:szCs w:val="22"/>
              </w:rPr>
              <w:t xml:space="preserve">- </w:t>
            </w:r>
            <w:r w:rsidR="007F0EDD">
              <w:rPr>
                <w:sz w:val="22"/>
                <w:szCs w:val="22"/>
              </w:rPr>
              <w:t>F</w:t>
            </w:r>
            <w:r w:rsidRPr="000B6756">
              <w:rPr>
                <w:sz w:val="22"/>
                <w:szCs w:val="22"/>
              </w:rPr>
              <w:t>racture requiring hospitalization</w:t>
            </w:r>
          </w:p>
        </w:tc>
        <w:tc>
          <w:tcPr>
            <w:tcW w:w="2672" w:type="dxa"/>
          </w:tcPr>
          <w:p w14:paraId="15E67F61" w14:textId="77777777" w:rsidR="006B591B" w:rsidRPr="000B6756" w:rsidRDefault="006B591B" w:rsidP="006B591B">
            <w:pPr>
              <w:rPr>
                <w:sz w:val="22"/>
                <w:szCs w:val="22"/>
              </w:rPr>
            </w:pPr>
            <w:r w:rsidRPr="000B6756">
              <w:rPr>
                <w:sz w:val="22"/>
                <w:szCs w:val="22"/>
              </w:rPr>
              <w:t>- 1538 (6%) patients experienced at least one fracture that required hospitalization</w:t>
            </w:r>
          </w:p>
          <w:p w14:paraId="06CC3360" w14:textId="77777777" w:rsidR="006B591B" w:rsidRPr="000B6756" w:rsidRDefault="006B591B" w:rsidP="006B591B">
            <w:pPr>
              <w:rPr>
                <w:sz w:val="22"/>
                <w:szCs w:val="22"/>
              </w:rPr>
            </w:pPr>
            <w:r w:rsidRPr="000B6756">
              <w:rPr>
                <w:sz w:val="22"/>
                <w:szCs w:val="22"/>
              </w:rPr>
              <w:t>- Among these patients, 43.3% had a pathological fracture or spinal cord compression</w:t>
            </w:r>
          </w:p>
          <w:p w14:paraId="5572993F" w14:textId="77777777" w:rsidR="006B591B" w:rsidRPr="002D09DA" w:rsidRDefault="006B591B" w:rsidP="006B591B">
            <w:pPr>
              <w:rPr>
                <w:b/>
                <w:sz w:val="22"/>
                <w:szCs w:val="22"/>
              </w:rPr>
            </w:pPr>
            <w:r w:rsidRPr="002D09DA">
              <w:rPr>
                <w:b/>
                <w:sz w:val="22"/>
                <w:szCs w:val="22"/>
              </w:rPr>
              <w:t>- Rate of fracture among ADT users was 5.8% with localized disease and 19.6% for patients with locally advanced or metastatic disease</w:t>
            </w:r>
          </w:p>
          <w:p w14:paraId="5CDEE707" w14:textId="54DF6AE2" w:rsidR="006B591B" w:rsidRPr="000B6756" w:rsidRDefault="006B591B" w:rsidP="006B591B">
            <w:pPr>
              <w:rPr>
                <w:sz w:val="22"/>
                <w:szCs w:val="22"/>
              </w:rPr>
            </w:pPr>
            <w:r w:rsidRPr="000B6756">
              <w:rPr>
                <w:sz w:val="22"/>
                <w:szCs w:val="22"/>
              </w:rPr>
              <w:t xml:space="preserve">- </w:t>
            </w:r>
            <w:r w:rsidRPr="009138E6">
              <w:rPr>
                <w:b/>
                <w:sz w:val="22"/>
                <w:szCs w:val="22"/>
              </w:rPr>
              <w:t>Use of ADT was associated with a significant 2.83x increased risk of any fracture</w:t>
            </w:r>
            <w:r w:rsidRPr="000B6756">
              <w:rPr>
                <w:sz w:val="22"/>
                <w:szCs w:val="22"/>
              </w:rPr>
              <w:t xml:space="preserve"> (OR= 2.83, 95% CI 2.52-3.17) </w:t>
            </w:r>
            <w:r w:rsidRPr="00E2336D">
              <w:rPr>
                <w:b/>
                <w:sz w:val="22"/>
                <w:szCs w:val="22"/>
              </w:rPr>
              <w:t xml:space="preserve">and of hip fracture </w:t>
            </w:r>
          </w:p>
          <w:p w14:paraId="5590AB79" w14:textId="597356BD" w:rsidR="006B591B" w:rsidRPr="000B6756" w:rsidRDefault="006B591B" w:rsidP="006B591B">
            <w:pPr>
              <w:rPr>
                <w:sz w:val="22"/>
                <w:szCs w:val="22"/>
              </w:rPr>
            </w:pPr>
            <w:r w:rsidRPr="000B6756">
              <w:rPr>
                <w:sz w:val="22"/>
                <w:szCs w:val="22"/>
              </w:rPr>
              <w:t>- Use of bisphosphonates were associated with a significantly increased risk of any fracture (5.89x increased risk with localized disease and 2.03x increased risk with metastatic disease)</w:t>
            </w:r>
          </w:p>
        </w:tc>
        <w:tc>
          <w:tcPr>
            <w:tcW w:w="3096" w:type="dxa"/>
          </w:tcPr>
          <w:p w14:paraId="60A686CF" w14:textId="792171CA" w:rsidR="006B591B" w:rsidRPr="009C33EF" w:rsidRDefault="006B591B" w:rsidP="006B591B">
            <w:pPr>
              <w:rPr>
                <w:sz w:val="22"/>
                <w:szCs w:val="22"/>
              </w:rPr>
            </w:pPr>
            <w:r w:rsidRPr="009C33EF">
              <w:rPr>
                <w:sz w:val="22"/>
                <w:szCs w:val="22"/>
              </w:rPr>
              <w:t xml:space="preserve">- </w:t>
            </w:r>
            <w:r w:rsidRPr="009C33EF">
              <w:rPr>
                <w:b/>
                <w:sz w:val="22"/>
                <w:szCs w:val="22"/>
              </w:rPr>
              <w:t xml:space="preserve">Strengths: </w:t>
            </w:r>
            <w:r w:rsidRPr="009C33EF">
              <w:rPr>
                <w:sz w:val="22"/>
                <w:szCs w:val="22"/>
              </w:rPr>
              <w:t xml:space="preserve">large sample size, </w:t>
            </w:r>
            <w:proofErr w:type="gramStart"/>
            <w:r w:rsidRPr="009C33EF">
              <w:rPr>
                <w:sz w:val="22"/>
                <w:szCs w:val="22"/>
              </w:rPr>
              <w:t>population based</w:t>
            </w:r>
            <w:proofErr w:type="gramEnd"/>
            <w:r w:rsidRPr="009C33EF">
              <w:rPr>
                <w:sz w:val="22"/>
                <w:szCs w:val="22"/>
              </w:rPr>
              <w:t xml:space="preserve"> cohort of men given ADT, long follow up time</w:t>
            </w:r>
          </w:p>
          <w:p w14:paraId="015A03F1" w14:textId="33FDA3FA" w:rsidR="006B591B" w:rsidRPr="009C33EF" w:rsidRDefault="006B591B" w:rsidP="006B591B">
            <w:pPr>
              <w:rPr>
                <w:sz w:val="22"/>
                <w:szCs w:val="22"/>
              </w:rPr>
            </w:pPr>
            <w:r w:rsidRPr="009C33EF">
              <w:rPr>
                <w:b/>
                <w:sz w:val="22"/>
                <w:szCs w:val="22"/>
              </w:rPr>
              <w:t xml:space="preserve">- Limitations: </w:t>
            </w:r>
            <w:r w:rsidRPr="009C33EF">
              <w:rPr>
                <w:sz w:val="22"/>
                <w:szCs w:val="22"/>
              </w:rPr>
              <w:t>majority of patients are not staged, some patients may have cancer registered years after diagnosis, adjusted diagnosis date which could introduce bias, many fractures are not recorded in the system thus fracture risk could be underestimated, lack of data on certain risk factors of fracture such as smoking, alcohol, BMI, use of corticosteroids</w:t>
            </w:r>
          </w:p>
        </w:tc>
      </w:tr>
      <w:tr w:rsidR="00B452B0" w14:paraId="274813A3" w14:textId="77777777" w:rsidTr="004864AD">
        <w:tc>
          <w:tcPr>
            <w:tcW w:w="1665" w:type="dxa"/>
          </w:tcPr>
          <w:p w14:paraId="676E7DA0" w14:textId="6DA8EE21" w:rsidR="006B591B" w:rsidRPr="000B6756" w:rsidRDefault="006B591B" w:rsidP="006B591B">
            <w:pPr>
              <w:rPr>
                <w:sz w:val="22"/>
                <w:szCs w:val="22"/>
              </w:rPr>
            </w:pPr>
            <w:r w:rsidRPr="000B6756">
              <w:rPr>
                <w:b/>
                <w:sz w:val="22"/>
                <w:szCs w:val="22"/>
              </w:rPr>
              <w:t xml:space="preserve">Author/Year: </w:t>
            </w:r>
            <w:r w:rsidRPr="000B6756">
              <w:rPr>
                <w:sz w:val="22"/>
                <w:szCs w:val="22"/>
              </w:rPr>
              <w:t>Alibhai, et. al/ 2010</w:t>
            </w:r>
            <w:r w:rsidR="008D3362">
              <w:rPr>
                <w:sz w:val="22"/>
                <w:szCs w:val="22"/>
              </w:rPr>
              <w:fldChar w:fldCharType="begin"/>
            </w:r>
            <w:r w:rsidR="008D3362">
              <w:rPr>
                <w:sz w:val="22"/>
                <w:szCs w:val="22"/>
              </w:rPr>
              <w:instrText>ADDIN F1000_CSL_CITATION&lt;~#@#~&gt;[{"title":"Fracture types and risk factors in men with prostate cancer on androgen deprivation therapy: a matched cohort study of 19,079 men.","id":"6531816","page":"918-923","type":"article-journal","volume":"184","issue":"3","author":[{"family":"Alibhai","given":"Shabbir M H"},{"family":"Duong-Hua","given":"Minh"},{"family":"Cheung","given":"Angela M"},{"family":"Sutradhar","given":"Rinku"},{"family":"Warde","given":"Padraig"},{"family":"Fleshner","given":"Neil E"},{"family":"Paszat","given":"Lawrence"}],"issued":{"date-parts":[["2010","9"]]},"container-title":"The Journal of Urology","container-title-short":"J. Urol.","journalAbbreviation":"J. Urol.","DOI":"10.1016/j.juro.2010.04.068","PMID":"20643458","citation-label":"6531816","Abstract":"&lt;strong&gt;PURPOSE:&lt;/strong&gt; Accumulating evidence shows that androgen deprivation therapy is associated with osteoporosis and fragility fractures of the spine, hip and wrist. One study suggested that androgen deprivation therapy may also be associated with nonfragility fractures in older men. Whether other clinical risk factors independently increase the risk of fractures is not certain.&lt;br&gt;&lt;br&gt;&lt;strong&gt;MATERIALS AND METHODS:&lt;/strong&gt; Using linked administrative databases in Ontario, Canada, we matched 19,079 men 66 years old or older with prostate cancer with at least 6 months of continuous androgen deprivation therapy or bilateral orchiectomy with men with prostate cancer who had never received androgen deprivation. Matching variables were age, prior cancer treatment, diagnosis year, comorbidity, medication, prior fractures and socioeconomic variables. Primary outcomes were a typical fragility fracture of the spine, hip or wrist and any fracture. Independent predictors of fracture outcomes were assessed with Cox proportional hazards models.&lt;br&gt;&lt;br&gt;&lt;strong&gt;RESULTS:&lt;/strong&gt; At a mean 6.47-year followup androgen deprivation therapy was associated with an increased risk of fragility fracture (HR 1.65, 95% CI 1.53-1.78) and any fracture (HR 1.46, 95% CI 1.39-1.54). Independent predictors of fragility and any fracture were increasing age, prior bone thinning medications, chronic kidney disease, prior dementia, prior fragility fracture and prior osteoporosis diagnosis or treatment (p &lt; 0.05).&lt;br&gt;&lt;br&gt;&lt;strong&gt;CONCLUSIONS:&lt;/strong&gt; Continuous androgen deprivation therapy for at least 6 months is associated with an increased risk of fracture. Increasing age, prior osteoporotic fracture and dementia are important clinical factors that may warrant greater consideration of anti-osteoporotic therapy in these men.&lt;br&gt;&lt;br&gt;2010 American Urological Association Education and Research, Inc. Published by Elsevier Inc. All rights reserved.","CleanAbstract":"PURPOSE: Accumulating evidence shows that androgen deprivation therapy is associated with osteoporosis and fragility fractures of the spine, hip and wrist. One study suggested that androgen deprivation therapy may also be associated with nonfragility fractures in older men. Whether other clinical risk factors independently increase the risk of fractures is not certain.MATERIALS AND METHODS: Using linked administrative databases in Ontario, Canada, we matched 19,079 men 66 years old or older with prostate cancer with at least 6 months of continuous androgen deprivation therapy or bilateral orchiectomy with men with prostate cancer who had never received androgen deprivation. Matching variables were age, prior cancer treatment, diagnosis year, comorbidity, medication, prior fractures and socioeconomic variables. Primary outcomes were a typical fragility fracture of the spine, hip or wrist and any fracture. Independent predictors of fracture outcomes were assessed with Cox proportional hazards models.RESULTS: At a mean 6.47-year followup androgen deprivation therapy was associated with an increased risk of fragility fracture (HR 1.65, 95% CI 1.53-1.78) and any fracture (HR 1.46, 95% CI 1.39-1.54). Independent predictors of fragility and any fracture were increasing age, prior bone thinning medications, chronic kidney disease, prior dementia, prior fragility fracture and prior osteoporosis diagnosis or treatment (p CONCLUSIONS: Continuous androgen deprivation therapy for at least 6 months is associated with an increased risk of fracture. Increasing age, prior osteoporotic fracture and dementia are important clinical factors that may warrant greater consideration of anti-osteoporotic therapy in these men.2010 American Urological Association Education and Research, Inc. Published by Elsevier Inc. All rights reserved."}]</w:instrText>
            </w:r>
            <w:r w:rsidR="008D3362">
              <w:rPr>
                <w:sz w:val="22"/>
                <w:szCs w:val="22"/>
              </w:rPr>
              <w:fldChar w:fldCharType="separate"/>
            </w:r>
            <w:r w:rsidR="008D3362" w:rsidRPr="008D3362">
              <w:rPr>
                <w:sz w:val="22"/>
                <w:szCs w:val="22"/>
                <w:vertAlign w:val="superscript"/>
              </w:rPr>
              <w:t>10</w:t>
            </w:r>
            <w:r w:rsidR="008D3362">
              <w:rPr>
                <w:sz w:val="22"/>
                <w:szCs w:val="22"/>
              </w:rPr>
              <w:fldChar w:fldCharType="end"/>
            </w:r>
          </w:p>
          <w:p w14:paraId="18426892" w14:textId="657C67EB" w:rsidR="006B591B" w:rsidRPr="000B6756" w:rsidRDefault="006B591B" w:rsidP="006B591B">
            <w:pPr>
              <w:rPr>
                <w:sz w:val="22"/>
                <w:szCs w:val="22"/>
              </w:rPr>
            </w:pPr>
            <w:r w:rsidRPr="000B6756">
              <w:rPr>
                <w:b/>
                <w:sz w:val="22"/>
                <w:szCs w:val="22"/>
              </w:rPr>
              <w:t xml:space="preserve">Study Design: </w:t>
            </w:r>
            <w:r w:rsidRPr="000B6756">
              <w:rPr>
                <w:sz w:val="22"/>
                <w:szCs w:val="22"/>
              </w:rPr>
              <w:t xml:space="preserve">Matched Cohort Study </w:t>
            </w:r>
          </w:p>
        </w:tc>
        <w:tc>
          <w:tcPr>
            <w:tcW w:w="1563" w:type="dxa"/>
          </w:tcPr>
          <w:p w14:paraId="46B264FB" w14:textId="43147567" w:rsidR="006B591B" w:rsidRPr="000B6756" w:rsidRDefault="006B591B" w:rsidP="006B591B">
            <w:pPr>
              <w:rPr>
                <w:sz w:val="22"/>
                <w:szCs w:val="22"/>
              </w:rPr>
            </w:pPr>
            <w:r w:rsidRPr="000B6756">
              <w:rPr>
                <w:sz w:val="22"/>
                <w:szCs w:val="22"/>
              </w:rPr>
              <w:t xml:space="preserve">To study whether ADT increases </w:t>
            </w:r>
            <w:proofErr w:type="spellStart"/>
            <w:r w:rsidRPr="000B6756">
              <w:rPr>
                <w:sz w:val="22"/>
                <w:szCs w:val="22"/>
              </w:rPr>
              <w:t>nonfragility</w:t>
            </w:r>
            <w:proofErr w:type="spellEnd"/>
            <w:r w:rsidRPr="000B6756">
              <w:rPr>
                <w:sz w:val="22"/>
                <w:szCs w:val="22"/>
              </w:rPr>
              <w:t xml:space="preserve"> fracture risk, other clinical variables that </w:t>
            </w:r>
            <w:r w:rsidRPr="000B6756">
              <w:rPr>
                <w:sz w:val="22"/>
                <w:szCs w:val="22"/>
              </w:rPr>
              <w:lastRenderedPageBreak/>
              <w:t>increase fracture risk in these patients</w:t>
            </w:r>
          </w:p>
        </w:tc>
        <w:tc>
          <w:tcPr>
            <w:tcW w:w="1763" w:type="dxa"/>
          </w:tcPr>
          <w:p w14:paraId="6200FB2A" w14:textId="038CCD36" w:rsidR="006B591B" w:rsidRPr="000B6756" w:rsidRDefault="006B591B" w:rsidP="006B591B">
            <w:pPr>
              <w:rPr>
                <w:sz w:val="22"/>
                <w:szCs w:val="22"/>
              </w:rPr>
            </w:pPr>
            <w:r w:rsidRPr="000B6756">
              <w:rPr>
                <w:b/>
                <w:sz w:val="22"/>
                <w:szCs w:val="22"/>
              </w:rPr>
              <w:lastRenderedPageBreak/>
              <w:t xml:space="preserve">- </w:t>
            </w:r>
            <w:r w:rsidRPr="000B6756">
              <w:rPr>
                <w:sz w:val="22"/>
                <w:szCs w:val="22"/>
              </w:rPr>
              <w:t>19079 men</w:t>
            </w:r>
            <w:r>
              <w:rPr>
                <w:sz w:val="22"/>
                <w:szCs w:val="22"/>
              </w:rPr>
              <w:t xml:space="preserve"> </w:t>
            </w:r>
            <w:r w:rsidRPr="000B6756">
              <w:rPr>
                <w:sz w:val="22"/>
                <w:szCs w:val="22"/>
              </w:rPr>
              <w:t xml:space="preserve">66 years old or older diagnosed with prostate cancer between 1995- 2005, received at </w:t>
            </w:r>
            <w:r w:rsidRPr="000B6756">
              <w:rPr>
                <w:sz w:val="22"/>
                <w:szCs w:val="22"/>
              </w:rPr>
              <w:lastRenderedPageBreak/>
              <w:t>least 6 months of ADT therapy</w:t>
            </w:r>
            <w:r>
              <w:rPr>
                <w:sz w:val="22"/>
                <w:szCs w:val="22"/>
              </w:rPr>
              <w:t xml:space="preserve"> </w:t>
            </w:r>
          </w:p>
          <w:p w14:paraId="44D8D703" w14:textId="4BA942E5" w:rsidR="006B591B" w:rsidRPr="000B6756" w:rsidRDefault="006B591B" w:rsidP="006B591B">
            <w:pPr>
              <w:rPr>
                <w:sz w:val="22"/>
                <w:szCs w:val="22"/>
              </w:rPr>
            </w:pPr>
          </w:p>
        </w:tc>
        <w:tc>
          <w:tcPr>
            <w:tcW w:w="2191" w:type="dxa"/>
          </w:tcPr>
          <w:p w14:paraId="1EAED612" w14:textId="3484D262" w:rsidR="006B591B" w:rsidRPr="000B6756" w:rsidRDefault="006B591B" w:rsidP="006B591B">
            <w:pPr>
              <w:rPr>
                <w:sz w:val="22"/>
                <w:szCs w:val="22"/>
              </w:rPr>
            </w:pPr>
            <w:r>
              <w:rPr>
                <w:sz w:val="22"/>
                <w:szCs w:val="22"/>
              </w:rPr>
              <w:lastRenderedPageBreak/>
              <w:t xml:space="preserve">- </w:t>
            </w:r>
            <w:r w:rsidR="007F0EDD">
              <w:rPr>
                <w:sz w:val="22"/>
                <w:szCs w:val="22"/>
              </w:rPr>
              <w:t>F</w:t>
            </w:r>
            <w:r w:rsidRPr="000B6756">
              <w:rPr>
                <w:sz w:val="22"/>
                <w:szCs w:val="22"/>
              </w:rPr>
              <w:t>racture</w:t>
            </w:r>
            <w:r>
              <w:rPr>
                <w:sz w:val="22"/>
                <w:szCs w:val="22"/>
              </w:rPr>
              <w:t xml:space="preserve"> and fracture requiring hospitalization</w:t>
            </w:r>
          </w:p>
          <w:p w14:paraId="4DBD6229" w14:textId="05DF6E81" w:rsidR="006B591B" w:rsidRPr="000B6756" w:rsidRDefault="006B591B" w:rsidP="006B591B">
            <w:pPr>
              <w:rPr>
                <w:sz w:val="22"/>
                <w:szCs w:val="22"/>
              </w:rPr>
            </w:pPr>
            <w:r w:rsidRPr="000B6756">
              <w:rPr>
                <w:sz w:val="22"/>
                <w:szCs w:val="22"/>
              </w:rPr>
              <w:t xml:space="preserve"> </w:t>
            </w:r>
          </w:p>
        </w:tc>
        <w:tc>
          <w:tcPr>
            <w:tcW w:w="2672" w:type="dxa"/>
          </w:tcPr>
          <w:p w14:paraId="6CDF356E" w14:textId="77777777" w:rsidR="00BD78B1" w:rsidRDefault="006B591B" w:rsidP="006B591B">
            <w:pPr>
              <w:rPr>
                <w:sz w:val="22"/>
                <w:szCs w:val="22"/>
              </w:rPr>
            </w:pPr>
            <w:r w:rsidRPr="000B6756">
              <w:rPr>
                <w:sz w:val="22"/>
                <w:szCs w:val="22"/>
              </w:rPr>
              <w:t>- Total of 1778 ADT users (9%) vs 5% of nonusers had a fragility fracture of the spine, hip/femoral neck or other parts of the femur</w:t>
            </w:r>
          </w:p>
          <w:p w14:paraId="04683B5F" w14:textId="6DB8FD6D" w:rsidR="006B591B" w:rsidRPr="000B6756" w:rsidRDefault="00BD78B1" w:rsidP="006B591B">
            <w:pPr>
              <w:rPr>
                <w:sz w:val="22"/>
                <w:szCs w:val="22"/>
              </w:rPr>
            </w:pPr>
            <w:r>
              <w:rPr>
                <w:b/>
                <w:sz w:val="22"/>
                <w:szCs w:val="22"/>
              </w:rPr>
              <w:lastRenderedPageBreak/>
              <w:t xml:space="preserve">- </w:t>
            </w:r>
            <w:r w:rsidR="006B591B" w:rsidRPr="009138E6">
              <w:rPr>
                <w:b/>
                <w:sz w:val="22"/>
                <w:szCs w:val="22"/>
              </w:rPr>
              <w:t>3387 ADT users (17.2%) had any fracture compared to non-users</w:t>
            </w:r>
          </w:p>
          <w:p w14:paraId="574ABB62" w14:textId="77777777" w:rsidR="006B591B" w:rsidRPr="000B6756" w:rsidRDefault="006B591B" w:rsidP="006B591B">
            <w:pPr>
              <w:rPr>
                <w:sz w:val="22"/>
                <w:szCs w:val="22"/>
              </w:rPr>
            </w:pPr>
            <w:r w:rsidRPr="000B6756">
              <w:rPr>
                <w:sz w:val="22"/>
                <w:szCs w:val="22"/>
              </w:rPr>
              <w:t xml:space="preserve">- </w:t>
            </w:r>
            <w:r w:rsidRPr="009138E6">
              <w:rPr>
                <w:b/>
                <w:sz w:val="22"/>
                <w:szCs w:val="22"/>
              </w:rPr>
              <w:t>ADT was associated with increased fracture risk</w:t>
            </w:r>
          </w:p>
          <w:p w14:paraId="756B9117" w14:textId="0AB6840F" w:rsidR="006B591B" w:rsidRPr="000B6756" w:rsidRDefault="006B591B" w:rsidP="006B591B">
            <w:pPr>
              <w:rPr>
                <w:sz w:val="22"/>
                <w:szCs w:val="22"/>
              </w:rPr>
            </w:pPr>
            <w:r w:rsidRPr="000B6756">
              <w:rPr>
                <w:sz w:val="22"/>
                <w:szCs w:val="22"/>
              </w:rPr>
              <w:t>- Other factors that predicted fracture risk: older age, bone thinning drug use, prior fracture, prior osteoporosis diagnosis</w:t>
            </w:r>
          </w:p>
        </w:tc>
        <w:tc>
          <w:tcPr>
            <w:tcW w:w="3096" w:type="dxa"/>
          </w:tcPr>
          <w:p w14:paraId="6A3B4FEA" w14:textId="2F7D22C2" w:rsidR="006B591B" w:rsidRPr="009C33EF" w:rsidRDefault="006B591B" w:rsidP="006B591B">
            <w:pPr>
              <w:rPr>
                <w:sz w:val="22"/>
                <w:szCs w:val="22"/>
              </w:rPr>
            </w:pPr>
            <w:r w:rsidRPr="009C33EF">
              <w:rPr>
                <w:sz w:val="22"/>
                <w:szCs w:val="22"/>
              </w:rPr>
              <w:lastRenderedPageBreak/>
              <w:t xml:space="preserve">- </w:t>
            </w:r>
            <w:r w:rsidRPr="009C33EF">
              <w:rPr>
                <w:b/>
                <w:sz w:val="22"/>
                <w:szCs w:val="22"/>
              </w:rPr>
              <w:t xml:space="preserve">Strengths: </w:t>
            </w:r>
            <w:r w:rsidRPr="009C33EF">
              <w:rPr>
                <w:sz w:val="22"/>
                <w:szCs w:val="22"/>
              </w:rPr>
              <w:t xml:space="preserve">men in ADT group vs non-ADT group were matched based on age using propensity score based technique with logistic regression model which balanced distribution of possible </w:t>
            </w:r>
            <w:r w:rsidRPr="009C33EF">
              <w:rPr>
                <w:sz w:val="22"/>
                <w:szCs w:val="22"/>
              </w:rPr>
              <w:lastRenderedPageBreak/>
              <w:t>confounders between patients who did and did not receive ADT, obtained detailed set of covariates for matching and risk adjustment, large sample size, population based cohort of men on ADT, comprehensive linked databases, long follow up</w:t>
            </w:r>
          </w:p>
          <w:p w14:paraId="3AAA0329" w14:textId="009816CA" w:rsidR="006B591B" w:rsidRPr="009C33EF" w:rsidRDefault="006B591B" w:rsidP="006B591B">
            <w:pPr>
              <w:rPr>
                <w:b/>
                <w:sz w:val="22"/>
                <w:szCs w:val="22"/>
              </w:rPr>
            </w:pPr>
            <w:r w:rsidRPr="009C33EF">
              <w:rPr>
                <w:b/>
                <w:sz w:val="22"/>
                <w:szCs w:val="22"/>
              </w:rPr>
              <w:t xml:space="preserve">- Limitations: </w:t>
            </w:r>
            <w:r w:rsidRPr="009C33EF">
              <w:rPr>
                <w:sz w:val="22"/>
                <w:szCs w:val="22"/>
              </w:rPr>
              <w:t>limited to studying men 66 years old or older to obtain medication info, degree of under coding of minor fractures since some may not seek medical care, observed few of the various rarer fracture types limiting ability to draw conclusions of ADT based on these outcomes, included men on antiandrogens in cohort, clinical fracture risk factors were not available for inclusion in models</w:t>
            </w:r>
          </w:p>
        </w:tc>
      </w:tr>
      <w:tr w:rsidR="00B452B0" w:rsidRPr="00100966" w14:paraId="716D8471" w14:textId="77777777" w:rsidTr="004864AD">
        <w:tc>
          <w:tcPr>
            <w:tcW w:w="1665" w:type="dxa"/>
          </w:tcPr>
          <w:p w14:paraId="3F9CC360" w14:textId="7E428D18" w:rsidR="006B591B" w:rsidRPr="00100966" w:rsidRDefault="006B591B" w:rsidP="006B591B">
            <w:pPr>
              <w:rPr>
                <w:sz w:val="22"/>
                <w:szCs w:val="22"/>
              </w:rPr>
            </w:pPr>
            <w:r w:rsidRPr="00100966">
              <w:rPr>
                <w:b/>
                <w:sz w:val="22"/>
                <w:szCs w:val="22"/>
              </w:rPr>
              <w:lastRenderedPageBreak/>
              <w:t xml:space="preserve">Author/Year: </w:t>
            </w:r>
            <w:proofErr w:type="spellStart"/>
            <w:r w:rsidRPr="00100966">
              <w:rPr>
                <w:sz w:val="22"/>
                <w:szCs w:val="22"/>
              </w:rPr>
              <w:t>Shahinian</w:t>
            </w:r>
            <w:proofErr w:type="spellEnd"/>
            <w:r w:rsidRPr="00100966">
              <w:rPr>
                <w:sz w:val="22"/>
                <w:szCs w:val="22"/>
              </w:rPr>
              <w:t>, et. al/ 2005</w:t>
            </w:r>
            <w:r w:rsidR="008D3362">
              <w:rPr>
                <w:sz w:val="22"/>
                <w:szCs w:val="22"/>
              </w:rPr>
              <w:fldChar w:fldCharType="begin"/>
            </w:r>
            <w:r w:rsidR="008D3362">
              <w:rPr>
                <w:sz w:val="22"/>
                <w:szCs w:val="22"/>
              </w:rPr>
              <w:instrText>ADDIN F1000_CSL_CITATION&lt;~#@#~&gt;[{"title":"Risk of fracture after androgen deprivation for prostate cancer.","id":"1231289","page":"154-164","type":"article-journal","volume":"352","issue":"2","author":[{"family":"Shahinian","given":"Vahakn B"},{"family":"Kuo","given":"Yong-Fang"},{"family":"Freeman","given":"Jean L"},{"family":"Goodwin","given":"James S"}],"issued":{"date-parts":[["2005","1","13"]]},"container-title":"The New England Journal of Medicine","container-title-short":"N. Engl. J. Med.","journalAbbreviation":"N. Engl. J. Med.","DOI":"10.1056/NEJMoa041943","PMID":"15647578","citation-label":"1231289","Abstract":"&lt;strong&gt;BACKGROUND:&lt;/strong&gt; The use of androgen-deprivation therapy for prostate cancer has increased substantially over the past 15 years. This treatment is associated with a loss of bone-mineral density, but the risk of fracture after androgen-deprivation therapy has not been well studied.&lt;br&gt;&lt;br&gt;&lt;strong&gt;METHODS:&lt;/strong&gt; We studied the records of 50,613 men who were listed in the linked database of the Surveillance, Epidemiology, and End Results program and Medicare as having received a diagnosis of prostate cancer in the period from 1992 through 1997. The primary outcomes were the occurrence of any fracture and the occurrence of a fracture resulting in hospitalization. Cox proportional-hazards analyses were adjusted for characteristics of the patients and the cancer, other cancer treatment received, and the occurrence of a fracture or the diagnosis of osteoporosis during the 12 months preceding the diagnosis of cancer.&lt;br&gt;&lt;br&gt;&lt;strong&gt;RESULTS:&lt;/strong&gt; Of men surviving at least five years after diagnosis, 19.4 percent of those who received androgen-deprivation therapy had a fracture, as compared with 12.6 percent of those not receiving androgen-deprivation therapy (P&lt; 0.001). In the Cox proportional-hazards analyses, adjusted for characteristics of the patient and the tumor, there was a statistically significant relation between the number of doses of gonadotropin-releasing hormone received during the 12 months after diagnosis and the subsequent risk of fracture.&lt;br&gt;&lt;br&gt;&lt;strong&gt;CONCLUSIONS:&lt;/strong&gt; Androgen-deprivation therapy for prostate cancer increases the risk of fracture.&lt;br&gt;&lt;br&gt;Copyright 2005 Massachusetts Medical Society.","CleanAbstract":"BACKGROUND: The use of androgen-deprivation therapy for prostate cancer has increased substantially over the past 15 years. This treatment is associated with a loss of bone-mineral density, but the risk of fracture after androgen-deprivation therapy has not been well studied.METHODS: We studied the records of 50,613 men who were listed in the linked database of the Surveillance, Epidemiology, and End Results program and Medicare as having received a diagnosis of prostate cancer in the period from 1992 through 1997. The primary outcomes were the occurrence of any fracture and the occurrence of a fracture resulting in hospitalization. Cox proportional-hazards analyses were adjusted for characteristics of the patients and the cancer, other cancer treatment received, and the occurrence of a fracture or the diagnosis of osteoporosis during the 12 months preceding the diagnosis of cancer.RESULTS: Of men surviving at least five years after diagnosis, 19.4 percent of those who received androgen-deprivation therapy had a fracture, as compared with 12.6 percent of those not receiving androgen-deprivation therapy (PCONCLUSIONS: Androgen-deprivation therapy for prostate cancer increases the risk of fracture.Copyright 2005 Massachusetts Medical Society."}]</w:instrText>
            </w:r>
            <w:r w:rsidR="008D3362">
              <w:rPr>
                <w:sz w:val="22"/>
                <w:szCs w:val="22"/>
              </w:rPr>
              <w:fldChar w:fldCharType="separate"/>
            </w:r>
            <w:r w:rsidR="008D3362" w:rsidRPr="008D3362">
              <w:rPr>
                <w:sz w:val="22"/>
                <w:szCs w:val="22"/>
                <w:vertAlign w:val="superscript"/>
              </w:rPr>
              <w:t>11</w:t>
            </w:r>
            <w:r w:rsidR="008D3362">
              <w:rPr>
                <w:sz w:val="22"/>
                <w:szCs w:val="22"/>
              </w:rPr>
              <w:fldChar w:fldCharType="end"/>
            </w:r>
          </w:p>
          <w:p w14:paraId="15D80FFC" w14:textId="4DB8B6AC" w:rsidR="006B591B" w:rsidRPr="00100966" w:rsidRDefault="006B591B" w:rsidP="006B591B">
            <w:pPr>
              <w:rPr>
                <w:sz w:val="22"/>
                <w:szCs w:val="22"/>
              </w:rPr>
            </w:pPr>
            <w:r w:rsidRPr="00100966">
              <w:rPr>
                <w:b/>
                <w:sz w:val="22"/>
                <w:szCs w:val="22"/>
              </w:rPr>
              <w:t xml:space="preserve">Study Design: </w:t>
            </w:r>
            <w:r w:rsidRPr="00100966">
              <w:rPr>
                <w:sz w:val="22"/>
                <w:szCs w:val="22"/>
              </w:rPr>
              <w:t>Cohort Study</w:t>
            </w:r>
            <w:r w:rsidRPr="00100966">
              <w:rPr>
                <w:b/>
                <w:sz w:val="22"/>
                <w:szCs w:val="22"/>
              </w:rPr>
              <w:t xml:space="preserve"> </w:t>
            </w:r>
          </w:p>
        </w:tc>
        <w:tc>
          <w:tcPr>
            <w:tcW w:w="1563" w:type="dxa"/>
          </w:tcPr>
          <w:p w14:paraId="1CE9ED52" w14:textId="7B31E7F8" w:rsidR="006B591B" w:rsidRPr="00100966" w:rsidRDefault="006B591B" w:rsidP="006B591B">
            <w:pPr>
              <w:rPr>
                <w:sz w:val="22"/>
                <w:szCs w:val="22"/>
              </w:rPr>
            </w:pPr>
            <w:r w:rsidRPr="00100966">
              <w:rPr>
                <w:sz w:val="22"/>
                <w:szCs w:val="22"/>
              </w:rPr>
              <w:t>Assess the risk of fracture associated with androgen deprivation</w:t>
            </w:r>
            <w:r w:rsidR="005F5D94">
              <w:rPr>
                <w:sz w:val="22"/>
                <w:szCs w:val="22"/>
              </w:rPr>
              <w:t xml:space="preserve"> therapy</w:t>
            </w:r>
            <w:r w:rsidRPr="00100966">
              <w:rPr>
                <w:sz w:val="22"/>
                <w:szCs w:val="22"/>
              </w:rPr>
              <w:t xml:space="preserve"> in the form of orchiectomy or treatment with GRH agonists</w:t>
            </w:r>
          </w:p>
        </w:tc>
        <w:tc>
          <w:tcPr>
            <w:tcW w:w="1763" w:type="dxa"/>
          </w:tcPr>
          <w:p w14:paraId="55423429" w14:textId="2586A311" w:rsidR="006B591B" w:rsidRPr="00100966" w:rsidRDefault="006B591B" w:rsidP="006B591B">
            <w:pPr>
              <w:rPr>
                <w:sz w:val="22"/>
                <w:szCs w:val="22"/>
              </w:rPr>
            </w:pPr>
            <w:r w:rsidRPr="00100966">
              <w:rPr>
                <w:sz w:val="22"/>
                <w:szCs w:val="22"/>
              </w:rPr>
              <w:t xml:space="preserve">- Records of 50,613 men 66 years old or older having received a diagnosis of prostate cancer in period of 1992 to 1997 and received GRH agonist or underwent orchiectomy within 6 months </w:t>
            </w:r>
            <w:r w:rsidRPr="00100966">
              <w:rPr>
                <w:sz w:val="22"/>
                <w:szCs w:val="22"/>
              </w:rPr>
              <w:lastRenderedPageBreak/>
              <w:t>after receiving diagnosis</w:t>
            </w:r>
          </w:p>
        </w:tc>
        <w:tc>
          <w:tcPr>
            <w:tcW w:w="2191" w:type="dxa"/>
          </w:tcPr>
          <w:p w14:paraId="05EAD1BA" w14:textId="2C8AC177" w:rsidR="006B591B" w:rsidRPr="00100966" w:rsidRDefault="006B591B" w:rsidP="006B591B">
            <w:pPr>
              <w:rPr>
                <w:sz w:val="22"/>
                <w:szCs w:val="22"/>
              </w:rPr>
            </w:pPr>
            <w:r w:rsidRPr="00100966">
              <w:rPr>
                <w:sz w:val="22"/>
                <w:szCs w:val="22"/>
              </w:rPr>
              <w:lastRenderedPageBreak/>
              <w:t>- Primary outcomes: any fracture and fracture resulting in hospitalization</w:t>
            </w:r>
          </w:p>
          <w:p w14:paraId="67D7ECC6" w14:textId="31A77BA9" w:rsidR="006B591B" w:rsidRPr="00100966" w:rsidRDefault="006B591B" w:rsidP="006B591B">
            <w:pPr>
              <w:rPr>
                <w:sz w:val="22"/>
                <w:szCs w:val="22"/>
              </w:rPr>
            </w:pPr>
            <w:r w:rsidRPr="00100966">
              <w:rPr>
                <w:sz w:val="22"/>
                <w:szCs w:val="22"/>
              </w:rPr>
              <w:t xml:space="preserve">- Secondary outcomes: fractures at specific sites and new diagnosis of osteoporosis </w:t>
            </w:r>
          </w:p>
        </w:tc>
        <w:tc>
          <w:tcPr>
            <w:tcW w:w="2672" w:type="dxa"/>
          </w:tcPr>
          <w:p w14:paraId="661A82C6" w14:textId="62C3CCBF" w:rsidR="006B591B" w:rsidRPr="00100966" w:rsidRDefault="006B591B" w:rsidP="006B591B">
            <w:pPr>
              <w:rPr>
                <w:sz w:val="22"/>
                <w:szCs w:val="22"/>
              </w:rPr>
            </w:pPr>
            <w:r w:rsidRPr="00100966">
              <w:rPr>
                <w:sz w:val="22"/>
                <w:szCs w:val="22"/>
              </w:rPr>
              <w:t xml:space="preserve">- Small but </w:t>
            </w:r>
            <w:r w:rsidRPr="009138E6">
              <w:rPr>
                <w:b/>
                <w:sz w:val="22"/>
                <w:szCs w:val="22"/>
              </w:rPr>
              <w:t>statistically significant increase in patients with any fracture in the group receiving androgen-deprivation therapy</w:t>
            </w:r>
            <w:r w:rsidRPr="00100966">
              <w:rPr>
                <w:sz w:val="22"/>
                <w:szCs w:val="22"/>
              </w:rPr>
              <w:t xml:space="preserve"> (19.4% in ADT group)</w:t>
            </w:r>
          </w:p>
          <w:p w14:paraId="27A5D371" w14:textId="14786995" w:rsidR="006B591B" w:rsidRPr="00100966" w:rsidRDefault="006B591B" w:rsidP="006B591B">
            <w:pPr>
              <w:rPr>
                <w:sz w:val="22"/>
                <w:szCs w:val="22"/>
              </w:rPr>
            </w:pPr>
            <w:r w:rsidRPr="00100966">
              <w:rPr>
                <w:sz w:val="22"/>
                <w:szCs w:val="22"/>
              </w:rPr>
              <w:t xml:space="preserve">- Relative risk of occurrence of any fracture increased steadily with the increasing doses of a GRH agonist received during the first year after diagnosis </w:t>
            </w:r>
          </w:p>
          <w:p w14:paraId="61A346A3" w14:textId="476FC086" w:rsidR="006B591B" w:rsidRPr="00100966" w:rsidRDefault="006B591B" w:rsidP="006B591B">
            <w:pPr>
              <w:rPr>
                <w:sz w:val="22"/>
                <w:szCs w:val="22"/>
              </w:rPr>
            </w:pPr>
            <w:r w:rsidRPr="00100966">
              <w:rPr>
                <w:sz w:val="22"/>
                <w:szCs w:val="22"/>
              </w:rPr>
              <w:lastRenderedPageBreak/>
              <w:t>- 7-16% of fractures in prostate cancer were related to bone metastases</w:t>
            </w:r>
          </w:p>
        </w:tc>
        <w:tc>
          <w:tcPr>
            <w:tcW w:w="3096" w:type="dxa"/>
          </w:tcPr>
          <w:p w14:paraId="2AC555A4" w14:textId="26B5FFF6" w:rsidR="006B591B" w:rsidRPr="00100966" w:rsidRDefault="006B591B" w:rsidP="006B591B">
            <w:pPr>
              <w:rPr>
                <w:sz w:val="22"/>
                <w:szCs w:val="22"/>
              </w:rPr>
            </w:pPr>
            <w:r w:rsidRPr="00100966">
              <w:rPr>
                <w:b/>
                <w:sz w:val="22"/>
                <w:szCs w:val="22"/>
              </w:rPr>
              <w:lastRenderedPageBreak/>
              <w:t xml:space="preserve">Strengths: </w:t>
            </w:r>
            <w:r w:rsidRPr="00100966">
              <w:rPr>
                <w:sz w:val="22"/>
                <w:szCs w:val="22"/>
              </w:rPr>
              <w:t>large sample size, included control group who did not use GRH therapy, matched control vs treatment group for similar characteristics</w:t>
            </w:r>
          </w:p>
          <w:p w14:paraId="4FD9CBD5" w14:textId="5588B87F" w:rsidR="006B591B" w:rsidRPr="00100966" w:rsidRDefault="006B591B" w:rsidP="006B591B">
            <w:pPr>
              <w:rPr>
                <w:sz w:val="22"/>
                <w:szCs w:val="22"/>
              </w:rPr>
            </w:pPr>
            <w:r w:rsidRPr="00100966">
              <w:rPr>
                <w:b/>
                <w:sz w:val="22"/>
                <w:szCs w:val="22"/>
              </w:rPr>
              <w:t xml:space="preserve">Limitations: </w:t>
            </w:r>
            <w:r w:rsidRPr="00100966">
              <w:rPr>
                <w:sz w:val="22"/>
                <w:szCs w:val="22"/>
              </w:rPr>
              <w:t xml:space="preserve">did not separate fractures that were related to bone metastases, short time period analyzed with exposure to GRN agonists </w:t>
            </w:r>
          </w:p>
        </w:tc>
      </w:tr>
      <w:tr w:rsidR="00B452B0" w:rsidRPr="00100966" w14:paraId="0D51D9E9" w14:textId="77777777" w:rsidTr="004864AD">
        <w:tc>
          <w:tcPr>
            <w:tcW w:w="1665" w:type="dxa"/>
          </w:tcPr>
          <w:p w14:paraId="78A60B17" w14:textId="2D251FBB" w:rsidR="006B591B" w:rsidRPr="009121E0" w:rsidRDefault="006B591B" w:rsidP="006B591B">
            <w:pPr>
              <w:rPr>
                <w:sz w:val="22"/>
                <w:szCs w:val="22"/>
              </w:rPr>
            </w:pPr>
            <w:r w:rsidRPr="00100966">
              <w:rPr>
                <w:b/>
                <w:sz w:val="22"/>
                <w:szCs w:val="22"/>
              </w:rPr>
              <w:t>Author/Year</w:t>
            </w:r>
            <w:r>
              <w:rPr>
                <w:b/>
                <w:sz w:val="22"/>
                <w:szCs w:val="22"/>
              </w:rPr>
              <w:t xml:space="preserve">: </w:t>
            </w:r>
            <w:r>
              <w:rPr>
                <w:sz w:val="22"/>
                <w:szCs w:val="22"/>
              </w:rPr>
              <w:t>Townsend, et. al., 199</w:t>
            </w:r>
            <w:r w:rsidR="008D3362">
              <w:rPr>
                <w:sz w:val="22"/>
                <w:szCs w:val="22"/>
              </w:rPr>
              <w:t>7</w:t>
            </w:r>
            <w:r w:rsidR="008D3362">
              <w:rPr>
                <w:sz w:val="22"/>
                <w:szCs w:val="22"/>
              </w:rPr>
              <w:fldChar w:fldCharType="begin"/>
            </w:r>
            <w:r w:rsidR="008D3362">
              <w:rPr>
                <w:sz w:val="22"/>
                <w:szCs w:val="22"/>
              </w:rPr>
              <w:instrText>ADDIN F1000_CSL_CITATION&lt;~#@#~&gt;[{"title":"Bone fractures associated with luteinizing hormone-releasing hormone agonists used in the treatment of prostate carcinoma.","id":"6531995","page":"545-550","type":"article-journal","volume":"79","issue":"3","author":[{"family":"Townsend","given":"M F"},{"family":"Sanders","given":"W H"},{"family":"Northway","given":"R O"},{"family":"Graham","given":"S D"}],"issued":{"date-parts":[["1997","2","1"]]},"container-title":"Cancer","container-title-short":"Cancer","journalAbbreviation":"Cancer","DOI":"10.1002/(SICI)1097-0142(19970201)79:3&lt;545::AID-CNCR17&gt;3.0.CO;2-3","PMID":"9028366","citation-label":"6531995","Abstract":"&lt;strong&gt;BACKGROUND:&lt;/strong&gt; Luteinizing hormone-releasing hormone agonists (LHRH-a) have become an established treatment for certain patients with prostate carcinoma. LHRH-a are known to decrease bone mineral density. The purpose of this study was to determine the risk of bone fracture in men receiving LHRH-a for prostate carcinoma.&lt;br&gt;&lt;br&gt;&lt;strong&gt;METHODS:&lt;/strong&gt; A retrospective chart review and phone interviews were conducted to determine the incidence of bone fractures occurring in patients receiving LHRH-a for the treatment of prostate carcinoma. Abstracted data included the number of monthly LHRH-a injections, age, clinical stage of disease, sites of metastases, and bone fracture history.&lt;br&gt;&lt;br&gt;&lt;strong&gt;RESULTS:&lt;/strong&gt; Twenty of the 224 patients (9%) treated with LHRH-a for prostate carcinoma between 1988 and 1995 at 3 teaching hospitals had at least 1 bone fracture during treatment with LHRH-a. The duration of treatment to the time of fracture ranged from 1 to 96 months (mean, 22.2 months). Seven fractures (32%) were osteoporotic in nature (i.e., vertebral compression fractures or hip fractures after a fall from standing), whereas 8 fractures (36%) were associated with a significant traumatic event (i.e., a motor vehicle accident, boxing, etc.) and 5 were of mixed etiology. Two of 22 fractures (9%) were pathologic.&lt;br&gt;&lt;br&gt;&lt;strong&gt;CONCLUSIONS:&lt;/strong&gt; This study demonstrated a 9% fracture incidence in a cohort of patients receiving LHRH-a for prostate carcinoma for up to 96 months. The incidence of osteoporotic fractures was 5%.","CleanAbstract":"BACKGROUND: Luteinizing hormone-releasing hormone agonists (LHRH-a) have become an established treatment for certain patients with prostate carcinoma. LHRH-a are known to decrease bone mineral density. The purpose of this study was to determine the risk of bone fracture in men receiving LHRH-a for prostate carcinoma.METHODS: A retrospective chart review and phone interviews were conducted to determine the incidence of bone fractures occurring in patients receiving LHRH-a for the treatment of prostate carcinoma. Abstracted data included the number of monthly LHRH-a injections, age, clinical stage of disease, sites of metastases, and bone fracture history.RESULTS: Twenty of the 224 patients (9%) treated with LHRH-a for prostate carcinoma between 1988 and 1995 at 3 teaching hospitals had at least 1 bone fracture during treatment with LHRH-a. The duration of treatment to the time of fracture ranged from 1 to 96 months (mean, 22.2 months). Seven fractures (32%) were osteoporotic in nature (i.e., vertebral compression fractures or hip fractures after a fall from standing), whereas 8 fractures (36%) were associated with a significant traumatic event (i.e., a motor vehicle accident, boxing, etc.) and 5 were of mixed etiology. Two of 22 fractures (9%) were pathologic.CONCLUSIONS: This study demonstrated a 9% fracture incidence in a cohort of patients receiving LHRH-a for prostate carcinoma for up to 96 months. The incidence of osteoporotic fractures was 5%."}]</w:instrText>
            </w:r>
            <w:r w:rsidR="008D3362">
              <w:rPr>
                <w:sz w:val="22"/>
                <w:szCs w:val="22"/>
              </w:rPr>
              <w:fldChar w:fldCharType="separate"/>
            </w:r>
            <w:r w:rsidR="008D3362" w:rsidRPr="008D3362">
              <w:rPr>
                <w:sz w:val="22"/>
                <w:szCs w:val="22"/>
                <w:vertAlign w:val="superscript"/>
              </w:rPr>
              <w:t>12</w:t>
            </w:r>
            <w:r w:rsidR="008D3362">
              <w:rPr>
                <w:sz w:val="22"/>
                <w:szCs w:val="22"/>
              </w:rPr>
              <w:fldChar w:fldCharType="end"/>
            </w:r>
          </w:p>
          <w:p w14:paraId="7AC9BDC7" w14:textId="0EBAC4A7" w:rsidR="006B591B" w:rsidRPr="00636334" w:rsidRDefault="006B591B" w:rsidP="006B591B">
            <w:pPr>
              <w:rPr>
                <w:sz w:val="22"/>
                <w:szCs w:val="22"/>
              </w:rPr>
            </w:pPr>
            <w:r w:rsidRPr="00100966">
              <w:rPr>
                <w:b/>
                <w:sz w:val="22"/>
                <w:szCs w:val="22"/>
              </w:rPr>
              <w:t>Study Design</w:t>
            </w:r>
            <w:r>
              <w:rPr>
                <w:b/>
                <w:sz w:val="22"/>
                <w:szCs w:val="22"/>
              </w:rPr>
              <w:t xml:space="preserve">: </w:t>
            </w:r>
            <w:r>
              <w:rPr>
                <w:sz w:val="22"/>
                <w:szCs w:val="22"/>
              </w:rPr>
              <w:t>Retrospective review</w:t>
            </w:r>
          </w:p>
        </w:tc>
        <w:tc>
          <w:tcPr>
            <w:tcW w:w="1563" w:type="dxa"/>
          </w:tcPr>
          <w:p w14:paraId="28826AB7" w14:textId="54737668" w:rsidR="006B591B" w:rsidRPr="00100966" w:rsidRDefault="006B591B" w:rsidP="006B591B">
            <w:pPr>
              <w:rPr>
                <w:sz w:val="22"/>
                <w:szCs w:val="22"/>
              </w:rPr>
            </w:pPr>
            <w:r>
              <w:rPr>
                <w:sz w:val="22"/>
                <w:szCs w:val="22"/>
              </w:rPr>
              <w:t>Determine the risk of bone fracture in men receiving luteinizing hormone releasing hormone (LHRH) for prostate carcinoma</w:t>
            </w:r>
          </w:p>
        </w:tc>
        <w:tc>
          <w:tcPr>
            <w:tcW w:w="1763" w:type="dxa"/>
          </w:tcPr>
          <w:p w14:paraId="2E44A5DB" w14:textId="76468F2A" w:rsidR="006B591B" w:rsidRPr="00100966" w:rsidRDefault="006B591B" w:rsidP="006B591B">
            <w:pPr>
              <w:rPr>
                <w:sz w:val="22"/>
                <w:szCs w:val="22"/>
              </w:rPr>
            </w:pPr>
            <w:r>
              <w:rPr>
                <w:sz w:val="22"/>
                <w:szCs w:val="22"/>
              </w:rPr>
              <w:t>224 patients who were treated for prostate carcinoma between 1988 and 1995 with LHRH injections</w:t>
            </w:r>
          </w:p>
        </w:tc>
        <w:tc>
          <w:tcPr>
            <w:tcW w:w="2191" w:type="dxa"/>
          </w:tcPr>
          <w:p w14:paraId="1A9B7EF4" w14:textId="70512ECC" w:rsidR="006B591B" w:rsidRPr="00100966" w:rsidRDefault="006B591B" w:rsidP="006B591B">
            <w:pPr>
              <w:rPr>
                <w:sz w:val="22"/>
                <w:szCs w:val="22"/>
              </w:rPr>
            </w:pPr>
            <w:r>
              <w:rPr>
                <w:sz w:val="22"/>
                <w:szCs w:val="22"/>
              </w:rPr>
              <w:t>Bone fractures</w:t>
            </w:r>
          </w:p>
        </w:tc>
        <w:tc>
          <w:tcPr>
            <w:tcW w:w="2672" w:type="dxa"/>
          </w:tcPr>
          <w:p w14:paraId="6B5496AF" w14:textId="77777777" w:rsidR="006B591B" w:rsidRDefault="006B591B" w:rsidP="006B591B">
            <w:pPr>
              <w:rPr>
                <w:sz w:val="22"/>
                <w:szCs w:val="22"/>
              </w:rPr>
            </w:pPr>
            <w:r>
              <w:rPr>
                <w:sz w:val="22"/>
                <w:szCs w:val="22"/>
              </w:rPr>
              <w:t xml:space="preserve">- </w:t>
            </w:r>
            <w:r w:rsidRPr="009138E6">
              <w:rPr>
                <w:b/>
                <w:sz w:val="22"/>
                <w:szCs w:val="22"/>
              </w:rPr>
              <w:t>15 of 139 patients (11%) with bony metastases suffered a fracture</w:t>
            </w:r>
          </w:p>
          <w:p w14:paraId="5A62198D" w14:textId="37D9B76A" w:rsidR="006B591B" w:rsidRPr="00100966" w:rsidRDefault="006B591B" w:rsidP="006B591B">
            <w:pPr>
              <w:rPr>
                <w:sz w:val="22"/>
                <w:szCs w:val="22"/>
              </w:rPr>
            </w:pPr>
            <w:r>
              <w:rPr>
                <w:sz w:val="22"/>
                <w:szCs w:val="22"/>
              </w:rPr>
              <w:t xml:space="preserve">- the number of injections did not have a significant difference on the rate of fracture </w:t>
            </w:r>
          </w:p>
        </w:tc>
        <w:tc>
          <w:tcPr>
            <w:tcW w:w="3096" w:type="dxa"/>
          </w:tcPr>
          <w:p w14:paraId="31BEBC0E" w14:textId="5A749ABF" w:rsidR="006B591B" w:rsidRPr="00931276" w:rsidRDefault="006B591B" w:rsidP="006B591B">
            <w:pPr>
              <w:rPr>
                <w:sz w:val="22"/>
                <w:szCs w:val="22"/>
              </w:rPr>
            </w:pPr>
            <w:r>
              <w:rPr>
                <w:b/>
                <w:sz w:val="22"/>
                <w:szCs w:val="22"/>
              </w:rPr>
              <w:t xml:space="preserve">Strengths: </w:t>
            </w:r>
            <w:r>
              <w:rPr>
                <w:sz w:val="22"/>
                <w:szCs w:val="22"/>
              </w:rPr>
              <w:t>large sample size, divided sample size based on extent of cancer and if had malignancy, included the number of injections into the results of risk of fractures</w:t>
            </w:r>
          </w:p>
          <w:p w14:paraId="007B17EF" w14:textId="038B5CEC" w:rsidR="006B591B" w:rsidRPr="00B464BD" w:rsidRDefault="006B591B" w:rsidP="006B591B">
            <w:pPr>
              <w:rPr>
                <w:sz w:val="22"/>
                <w:szCs w:val="22"/>
              </w:rPr>
            </w:pPr>
            <w:r>
              <w:rPr>
                <w:b/>
                <w:sz w:val="22"/>
                <w:szCs w:val="22"/>
              </w:rPr>
              <w:t xml:space="preserve">Limitations: </w:t>
            </w:r>
            <w:r>
              <w:rPr>
                <w:sz w:val="22"/>
                <w:szCs w:val="22"/>
              </w:rPr>
              <w:t>determined if patient had fracture based on telephone interview with all participants, could not determine stage of disease or if had bony metastases in 43 patients, included fractures from trauma (MVA, fall), did not include statistical analysis data for results, older article</w:t>
            </w:r>
          </w:p>
        </w:tc>
      </w:tr>
      <w:tr w:rsidR="00B452B0" w:rsidRPr="00100966" w14:paraId="12673F1F" w14:textId="77777777" w:rsidTr="004864AD">
        <w:tc>
          <w:tcPr>
            <w:tcW w:w="1665" w:type="dxa"/>
          </w:tcPr>
          <w:p w14:paraId="63BC6CC4" w14:textId="15CC0E9E" w:rsidR="006B591B" w:rsidRPr="00427C1D" w:rsidRDefault="006B591B" w:rsidP="006B591B">
            <w:pPr>
              <w:rPr>
                <w:sz w:val="22"/>
                <w:szCs w:val="22"/>
              </w:rPr>
            </w:pPr>
            <w:r w:rsidRPr="00100966">
              <w:rPr>
                <w:b/>
                <w:sz w:val="22"/>
                <w:szCs w:val="22"/>
              </w:rPr>
              <w:t>Author/Year</w:t>
            </w:r>
            <w:r>
              <w:rPr>
                <w:b/>
                <w:sz w:val="22"/>
                <w:szCs w:val="22"/>
              </w:rPr>
              <w:t xml:space="preserve">: </w:t>
            </w:r>
            <w:proofErr w:type="spellStart"/>
            <w:r>
              <w:rPr>
                <w:sz w:val="22"/>
                <w:szCs w:val="22"/>
              </w:rPr>
              <w:t>Klaassen</w:t>
            </w:r>
            <w:proofErr w:type="spellEnd"/>
            <w:r>
              <w:rPr>
                <w:sz w:val="22"/>
                <w:szCs w:val="22"/>
              </w:rPr>
              <w:t>, et. al., 2017</w:t>
            </w:r>
            <w:r w:rsidR="008D3362">
              <w:rPr>
                <w:sz w:val="22"/>
                <w:szCs w:val="22"/>
              </w:rPr>
              <w:fldChar w:fldCharType="begin"/>
            </w:r>
            <w:r w:rsidR="008D3362">
              <w:rPr>
                <w:sz w:val="22"/>
                <w:szCs w:val="22"/>
              </w:rPr>
              <w:instrText>ADDIN F1000_CSL_CITATION&lt;~#@#~&gt;[{"title":"Factors predicting skeletal-related events in patients with bone metastatic castration-resistant prostate cancer.","id":"6532037","page":"1528-1535","type":"article-journal","volume":"123","issue":"9","author":[{"family":"Klaassen","given":"Zachary"},{"family":"Howard","given":"Lauren E"},{"family":"de Hoedt","given":"Amanda"},{"family":"Amling","given":"Christopher L"},{"family":"Aronson","given":"William J"},{"family":"Cooperberg","given":"Matthew R"},{"family":"Kane","given":"Christopher J"},{"family":"Terris","given":"Martha K"},{"family":"Freedland","given":"Stephen J"}],"issued":{"date-parts":[["2017","5","1"]]},"container-title":"Cancer","container-title-short":"Cancer","journalAbbreviation":"Cancer","DOI":"10.1002/cncr.30505","PMID":"28026865","PMCID":"PMC5562436","citation-label":"6532037","Abstract":"&lt;strong&gt;BACKGROUND:&lt;/strong&gt; Skeletal-related events (SREs) are common complications of bone metastatic castration-resistant prostate cancer (mCRPC). To the authors' knowledge, there are limited data regarding which factors predict SREs. The authors identified risk factors for SREs in men with bone mCRPC using characteristics commonly available in the medical record.&lt;br&gt;&lt;br&gt;&lt;strong&gt;METHODS:&lt;/strong&gt; Data from 454 patients with nonmetastatic CRPC were identified from 2 Veteran Affairs Medical Centers from 2000 through 2013. Among these men, 233 (51%) developed bone metastases during follow-up and represented the study cohort. First occurrence of an SRE was abstracted from the medical records. A stepwise multivariable Cox model was used to select the strongest predictors of time to SRE.&lt;br&gt;&lt;br&gt;&lt;strong&gt;RESULTS:&lt;/strong&gt; The median age of the patients at the time of diagnosis of bone mCRPC was 75 years (interquartile range, 68-81 years), and there were 153 nonblack patients (66%). During follow-up (median, 7.8 months [interquartile range, 2.9-18.3 months]), 88 patients (38%) had an SRE. On univariable analysis, more recent year of metastasis (hazard ratio [HR], 0.91), prostate-specific antigen doubling time of ≥9 months versus &lt; 9 months (HR, 0.50), and bone pain (HR, 3.34) were all found to be associated with SRE risk. On multivariable analysis, year of metastasis (HR, 0.93), biopsy Gleason score of 7 versus ≤6 (HR, 1.74), radiotherapy as the primary localized treatment versus none (HR, 2.33), and bone pain (HR, 3.64) were associated with SRE risk. The area under the curve for a multivariable model based upon these risk factors was 0.744.&lt;br&gt;&lt;br&gt;&lt;strong&gt;CONCLUSIONS:&lt;/strong&gt; The authors identified several significant predictors of SREs among men with mCRPC. In particular, men with bone pain are at high risk of an SRE. If confirmed, future trials should focus on prolonging life and reducing SRE risk in patients with mCRPC with bone pain. Cancer 2017;123:1528-1535. © 2017 American Cancer Society.&lt;br&gt;&lt;br&gt;© 2016 American Cancer Society.","CleanAbstract":"BACKGROUND: Skeletal-related events (SREs) are common complications of bone metastatic castration-resistant prostate cancer (mCRPC). To the authors' knowledge, there are limited data regarding which factors predict SREs. The authors identified risk factors for SREs in men with bone mCRPC using characteristics commonly available in the medical record.METHODS: Data from 454 patients with nonmetastatic CRPC were identified from 2 Veteran Affairs Medical Centers from 2000 through 2013. Among these men, 233 (51%) developed bone metastases during follow-up and represented the study cohort. First occurrence of an SRE was abstracted from the medical records. A stepwise multivariable Cox model was used to select the strongest predictors of time to SRE.RESULTS: The median age of the patients at the time of diagnosis of bone mCRPC was 75 years (interquartile range, 68-81 years), and there were 153 nonblack patients (66%). During follow-up (median, 7.8 months [interquartile range, 2.9-18.3 months]), 88 patients (38%) had an SRE. On univariable analysis, more recent year of metastasis (hazard ratio [HR], 0.91), prostate-specific antigen doubling time of ≥9 months versus CONCLUSIONS: The authors identified several significant predictors of SREs among men with mCRPC. In particular, men with bone pain are at high risk of an SRE. If confirmed, future trials should focus on prolonging life and reducing SRE risk in patients with mCRPC with bone pain. Cancer 2017;123:1528-1535. © 2017 American Cancer Society.© 2016 American Cancer Society."}]</w:instrText>
            </w:r>
            <w:r w:rsidR="008D3362">
              <w:rPr>
                <w:sz w:val="22"/>
                <w:szCs w:val="22"/>
              </w:rPr>
              <w:fldChar w:fldCharType="separate"/>
            </w:r>
            <w:r w:rsidR="008D3362" w:rsidRPr="008D3362">
              <w:rPr>
                <w:sz w:val="22"/>
                <w:szCs w:val="22"/>
                <w:vertAlign w:val="superscript"/>
              </w:rPr>
              <w:t>13</w:t>
            </w:r>
            <w:r w:rsidR="008D3362">
              <w:rPr>
                <w:sz w:val="22"/>
                <w:szCs w:val="22"/>
              </w:rPr>
              <w:fldChar w:fldCharType="end"/>
            </w:r>
          </w:p>
          <w:p w14:paraId="3C55752B" w14:textId="2B25DBA7" w:rsidR="006B591B" w:rsidRPr="00B246C9" w:rsidRDefault="006B591B" w:rsidP="006B591B">
            <w:pPr>
              <w:rPr>
                <w:sz w:val="22"/>
                <w:szCs w:val="22"/>
              </w:rPr>
            </w:pPr>
            <w:r w:rsidRPr="00100966">
              <w:rPr>
                <w:b/>
                <w:sz w:val="22"/>
                <w:szCs w:val="22"/>
              </w:rPr>
              <w:t>Study Design</w:t>
            </w:r>
            <w:r>
              <w:rPr>
                <w:b/>
                <w:sz w:val="22"/>
                <w:szCs w:val="22"/>
              </w:rPr>
              <w:t xml:space="preserve">: </w:t>
            </w:r>
            <w:r>
              <w:rPr>
                <w:sz w:val="22"/>
                <w:szCs w:val="22"/>
              </w:rPr>
              <w:t>Retrospective cohort study</w:t>
            </w:r>
          </w:p>
        </w:tc>
        <w:tc>
          <w:tcPr>
            <w:tcW w:w="1563" w:type="dxa"/>
          </w:tcPr>
          <w:p w14:paraId="357CD752" w14:textId="29B41F51" w:rsidR="006B591B" w:rsidRPr="00100966" w:rsidRDefault="006B591B" w:rsidP="006B591B">
            <w:pPr>
              <w:rPr>
                <w:sz w:val="22"/>
                <w:szCs w:val="22"/>
              </w:rPr>
            </w:pPr>
            <w:r>
              <w:rPr>
                <w:sz w:val="22"/>
                <w:szCs w:val="22"/>
              </w:rPr>
              <w:t>Identify risk factors for skeletal related events (SREs) in men with metastatic prostate cancer and is bone pain a strong predictor of time to SRE in these patients</w:t>
            </w:r>
          </w:p>
        </w:tc>
        <w:tc>
          <w:tcPr>
            <w:tcW w:w="1763" w:type="dxa"/>
          </w:tcPr>
          <w:p w14:paraId="115D3BC9" w14:textId="607BCD93" w:rsidR="006B591B" w:rsidRPr="00100966" w:rsidRDefault="006B591B" w:rsidP="006B591B">
            <w:pPr>
              <w:rPr>
                <w:sz w:val="22"/>
                <w:szCs w:val="22"/>
              </w:rPr>
            </w:pPr>
            <w:r>
              <w:rPr>
                <w:sz w:val="22"/>
                <w:szCs w:val="22"/>
              </w:rPr>
              <w:t>233 men aged 68-81 years old with metastatic prostate cancer</w:t>
            </w:r>
          </w:p>
        </w:tc>
        <w:tc>
          <w:tcPr>
            <w:tcW w:w="2191" w:type="dxa"/>
          </w:tcPr>
          <w:p w14:paraId="40CB3D13" w14:textId="149D696C" w:rsidR="006B591B" w:rsidRPr="00100966" w:rsidRDefault="006B591B" w:rsidP="006B591B">
            <w:pPr>
              <w:rPr>
                <w:sz w:val="22"/>
                <w:szCs w:val="22"/>
              </w:rPr>
            </w:pPr>
            <w:r>
              <w:rPr>
                <w:sz w:val="22"/>
                <w:szCs w:val="22"/>
              </w:rPr>
              <w:t>Time to SRE occurring including fractures and number of SREs occurring</w:t>
            </w:r>
          </w:p>
        </w:tc>
        <w:tc>
          <w:tcPr>
            <w:tcW w:w="2672" w:type="dxa"/>
          </w:tcPr>
          <w:p w14:paraId="1223983E" w14:textId="21113C27" w:rsidR="006B591B" w:rsidRPr="009138E6" w:rsidRDefault="006B591B" w:rsidP="006B591B">
            <w:pPr>
              <w:rPr>
                <w:b/>
                <w:sz w:val="22"/>
                <w:szCs w:val="22"/>
              </w:rPr>
            </w:pPr>
            <w:r>
              <w:rPr>
                <w:sz w:val="22"/>
                <w:szCs w:val="22"/>
              </w:rPr>
              <w:t xml:space="preserve">- </w:t>
            </w:r>
            <w:r w:rsidRPr="009138E6">
              <w:rPr>
                <w:b/>
                <w:sz w:val="22"/>
                <w:szCs w:val="22"/>
              </w:rPr>
              <w:t>Bone pain was found to have a significant increased risk of bone fracture and be the strongest predictor of SRE</w:t>
            </w:r>
          </w:p>
          <w:p w14:paraId="7C207958" w14:textId="77777777" w:rsidR="006B591B" w:rsidRDefault="006B591B" w:rsidP="006B591B">
            <w:pPr>
              <w:rPr>
                <w:sz w:val="22"/>
                <w:szCs w:val="22"/>
              </w:rPr>
            </w:pPr>
            <w:r>
              <w:rPr>
                <w:sz w:val="22"/>
                <w:szCs w:val="22"/>
              </w:rPr>
              <w:t>- Radiation therapy as a primary localized treatment increased fracture risk</w:t>
            </w:r>
          </w:p>
          <w:p w14:paraId="5DF781C6" w14:textId="77777777" w:rsidR="006B591B" w:rsidRDefault="006B591B" w:rsidP="006B591B">
            <w:pPr>
              <w:rPr>
                <w:sz w:val="22"/>
                <w:szCs w:val="22"/>
              </w:rPr>
            </w:pPr>
            <w:r>
              <w:rPr>
                <w:sz w:val="22"/>
                <w:szCs w:val="22"/>
              </w:rPr>
              <w:t>- Increased number of bone metastases led to increased risk of fracture</w:t>
            </w:r>
          </w:p>
          <w:p w14:paraId="4FF2DE70" w14:textId="237E7705" w:rsidR="006B591B" w:rsidRPr="00100966" w:rsidRDefault="006B591B" w:rsidP="006B591B">
            <w:pPr>
              <w:rPr>
                <w:sz w:val="22"/>
                <w:szCs w:val="22"/>
              </w:rPr>
            </w:pPr>
            <w:r>
              <w:rPr>
                <w:sz w:val="22"/>
                <w:szCs w:val="22"/>
              </w:rPr>
              <w:t xml:space="preserve">- </w:t>
            </w:r>
            <w:r w:rsidRPr="009138E6">
              <w:rPr>
                <w:b/>
                <w:sz w:val="22"/>
                <w:szCs w:val="22"/>
              </w:rPr>
              <w:t>Statistically significant difference in quicker progression to SRE with patients who had bony met</w:t>
            </w:r>
            <w:r>
              <w:rPr>
                <w:b/>
                <w:sz w:val="22"/>
                <w:szCs w:val="22"/>
              </w:rPr>
              <w:t>astases</w:t>
            </w:r>
            <w:r w:rsidRPr="009138E6">
              <w:rPr>
                <w:b/>
                <w:sz w:val="22"/>
                <w:szCs w:val="22"/>
              </w:rPr>
              <w:t xml:space="preserve"> and bone pain</w:t>
            </w:r>
            <w:r>
              <w:rPr>
                <w:sz w:val="22"/>
                <w:szCs w:val="22"/>
              </w:rPr>
              <w:t xml:space="preserve"> </w:t>
            </w:r>
          </w:p>
        </w:tc>
        <w:tc>
          <w:tcPr>
            <w:tcW w:w="3096" w:type="dxa"/>
          </w:tcPr>
          <w:p w14:paraId="5455AA52" w14:textId="374D8357" w:rsidR="006B591B" w:rsidRPr="00206CA8" w:rsidRDefault="006B591B" w:rsidP="006B591B">
            <w:pPr>
              <w:rPr>
                <w:sz w:val="22"/>
                <w:szCs w:val="22"/>
              </w:rPr>
            </w:pPr>
            <w:r>
              <w:rPr>
                <w:b/>
                <w:sz w:val="22"/>
                <w:szCs w:val="22"/>
              </w:rPr>
              <w:t xml:space="preserve">Strengths: </w:t>
            </w:r>
            <w:r>
              <w:rPr>
                <w:sz w:val="22"/>
                <w:szCs w:val="22"/>
              </w:rPr>
              <w:t>access to complete medical records which allowed for accuracy in assessing SRE risk, large sample size, performed detailed multivariable analysis</w:t>
            </w:r>
          </w:p>
          <w:p w14:paraId="334C550A" w14:textId="6DE91671" w:rsidR="006B591B" w:rsidRPr="00A245F9" w:rsidRDefault="006B591B" w:rsidP="006B591B">
            <w:pPr>
              <w:rPr>
                <w:sz w:val="22"/>
                <w:szCs w:val="22"/>
              </w:rPr>
            </w:pPr>
            <w:r>
              <w:rPr>
                <w:b/>
                <w:sz w:val="22"/>
                <w:szCs w:val="22"/>
              </w:rPr>
              <w:t xml:space="preserve">Limitations: </w:t>
            </w:r>
            <w:r>
              <w:rPr>
                <w:sz w:val="22"/>
                <w:szCs w:val="22"/>
              </w:rPr>
              <w:t>retrospective design, patients were from 2 veterans affairs hospitals limiting generalizability, 21% of cohort was missing data regarding bone pain, did not use standardized questionnaire to assess bone pain</w:t>
            </w:r>
          </w:p>
        </w:tc>
      </w:tr>
    </w:tbl>
    <w:p w14:paraId="0B73DC33" w14:textId="77777777" w:rsidR="008D3362" w:rsidRDefault="008D3362">
      <w:pPr>
        <w:rPr>
          <w:sz w:val="22"/>
          <w:szCs w:val="22"/>
        </w:rPr>
      </w:pPr>
      <w:r>
        <w:rPr>
          <w:sz w:val="22"/>
          <w:szCs w:val="22"/>
        </w:rPr>
        <w:lastRenderedPageBreak/>
        <w:t>Bibliography</w:t>
      </w:r>
    </w:p>
    <w:p w14:paraId="0FCB574E" w14:textId="77777777" w:rsidR="008D3362" w:rsidRDefault="008D3362" w:rsidP="008D3362">
      <w:pPr>
        <w:ind w:left="560" w:hanging="560"/>
        <w:rPr>
          <w:sz w:val="22"/>
          <w:szCs w:val="22"/>
        </w:rPr>
      </w:pPr>
      <w:r>
        <w:rPr>
          <w:sz w:val="22"/>
          <w:szCs w:val="22"/>
        </w:rPr>
        <w:fldChar w:fldCharType="begin"/>
      </w:r>
      <w:r>
        <w:rPr>
          <w:sz w:val="22"/>
          <w:szCs w:val="22"/>
        </w:rPr>
        <w:instrText>ADDIN F1000_CSL_BIBLIOGRAPHY</w:instrText>
      </w:r>
      <w:r>
        <w:rPr>
          <w:sz w:val="22"/>
          <w:szCs w:val="22"/>
        </w:rPr>
        <w:fldChar w:fldCharType="separate"/>
      </w:r>
      <w:r>
        <w:rPr>
          <w:sz w:val="22"/>
          <w:szCs w:val="22"/>
        </w:rPr>
        <w:t xml:space="preserve">1. </w:t>
      </w:r>
      <w:r>
        <w:rPr>
          <w:sz w:val="22"/>
          <w:szCs w:val="22"/>
        </w:rPr>
        <w:tab/>
        <w:t xml:space="preserve">Hu Y-C, Lun D-X, Wang H. Clinical features of neoplastic pathological fracture in long bones. </w:t>
      </w:r>
      <w:r w:rsidRPr="008D3362">
        <w:rPr>
          <w:i/>
          <w:sz w:val="22"/>
          <w:szCs w:val="22"/>
        </w:rPr>
        <w:t>Chin Med J</w:t>
      </w:r>
      <w:r>
        <w:rPr>
          <w:sz w:val="22"/>
          <w:szCs w:val="22"/>
        </w:rPr>
        <w:t xml:space="preserve"> 2012;125(17):3127-3132.</w:t>
      </w:r>
    </w:p>
    <w:p w14:paraId="005D0615" w14:textId="77777777" w:rsidR="008D3362" w:rsidRDefault="008D3362" w:rsidP="008D3362">
      <w:pPr>
        <w:ind w:left="560" w:hanging="560"/>
        <w:rPr>
          <w:sz w:val="22"/>
          <w:szCs w:val="22"/>
        </w:rPr>
      </w:pPr>
      <w:r>
        <w:rPr>
          <w:sz w:val="22"/>
          <w:szCs w:val="22"/>
        </w:rPr>
        <w:t xml:space="preserve">2. </w:t>
      </w:r>
      <w:r>
        <w:rPr>
          <w:sz w:val="22"/>
          <w:szCs w:val="22"/>
        </w:rPr>
        <w:tab/>
        <w:t xml:space="preserve">Benca E, Patsch JM, Mayr W, Pahr DH, Windhager R. The insufficiencies of risk analysis of impending pathological fractures in patients with femoral metastases: A literature review. </w:t>
      </w:r>
      <w:r w:rsidRPr="008D3362">
        <w:rPr>
          <w:i/>
          <w:sz w:val="22"/>
          <w:szCs w:val="22"/>
        </w:rPr>
        <w:t>Bone Rep.</w:t>
      </w:r>
      <w:r>
        <w:rPr>
          <w:sz w:val="22"/>
          <w:szCs w:val="22"/>
        </w:rPr>
        <w:t xml:space="preserve"> 2016;5:51-56. doi:10.1016/j.bonr.2016.02.003.</w:t>
      </w:r>
    </w:p>
    <w:p w14:paraId="3C85D134" w14:textId="77777777" w:rsidR="008D3362" w:rsidRDefault="008D3362" w:rsidP="008D3362">
      <w:pPr>
        <w:ind w:left="560" w:hanging="560"/>
        <w:rPr>
          <w:sz w:val="22"/>
          <w:szCs w:val="22"/>
        </w:rPr>
      </w:pPr>
      <w:r>
        <w:rPr>
          <w:sz w:val="22"/>
          <w:szCs w:val="22"/>
        </w:rPr>
        <w:t xml:space="preserve">3. </w:t>
      </w:r>
      <w:r>
        <w:rPr>
          <w:sz w:val="22"/>
          <w:szCs w:val="22"/>
        </w:rPr>
        <w:tab/>
        <w:t xml:space="preserve">Mirels H. Metastatic Disease in Long Bones A Proposed Scoring System for Diagnosing Impending Pathologic Fractures. </w:t>
      </w:r>
      <w:r w:rsidRPr="008D3362">
        <w:rPr>
          <w:i/>
          <w:sz w:val="22"/>
          <w:szCs w:val="22"/>
        </w:rPr>
        <w:t>Clin Orthop Relat Res</w:t>
      </w:r>
      <w:r>
        <w:rPr>
          <w:sz w:val="22"/>
          <w:szCs w:val="22"/>
        </w:rPr>
        <w:t xml:space="preserve"> 2003;415S:S4-S13.</w:t>
      </w:r>
    </w:p>
    <w:p w14:paraId="418666C8" w14:textId="77777777" w:rsidR="008D3362" w:rsidRDefault="008D3362" w:rsidP="008D3362">
      <w:pPr>
        <w:ind w:left="560" w:hanging="560"/>
        <w:rPr>
          <w:sz w:val="22"/>
          <w:szCs w:val="22"/>
        </w:rPr>
      </w:pPr>
      <w:r>
        <w:rPr>
          <w:sz w:val="22"/>
          <w:szCs w:val="22"/>
        </w:rPr>
        <w:t xml:space="preserve">4. </w:t>
      </w:r>
      <w:r>
        <w:rPr>
          <w:sz w:val="22"/>
          <w:szCs w:val="22"/>
        </w:rPr>
        <w:tab/>
        <w:t xml:space="preserve">Damron TA, Morgan H, Prakash D, Grant W, Aronowitz J, Heiner J. Critical evaluation of Mirels’ rating system for impending pathologic fractures. </w:t>
      </w:r>
      <w:r w:rsidRPr="008D3362">
        <w:rPr>
          <w:i/>
          <w:sz w:val="22"/>
          <w:szCs w:val="22"/>
        </w:rPr>
        <w:t>Clin Orthop Relat Res</w:t>
      </w:r>
      <w:r>
        <w:rPr>
          <w:sz w:val="22"/>
          <w:szCs w:val="22"/>
        </w:rPr>
        <w:t xml:space="preserve"> 2003;(415 Suppl):S201-7. doi:10.1097/01.blo.0000093842.72468.73.</w:t>
      </w:r>
    </w:p>
    <w:p w14:paraId="1D269D5C" w14:textId="77777777" w:rsidR="008D3362" w:rsidRDefault="008D3362" w:rsidP="008D3362">
      <w:pPr>
        <w:ind w:left="560" w:hanging="560"/>
        <w:rPr>
          <w:sz w:val="22"/>
          <w:szCs w:val="22"/>
        </w:rPr>
      </w:pPr>
      <w:r>
        <w:rPr>
          <w:sz w:val="22"/>
          <w:szCs w:val="22"/>
        </w:rPr>
        <w:t xml:space="preserve">5. </w:t>
      </w:r>
      <w:r>
        <w:rPr>
          <w:sz w:val="22"/>
          <w:szCs w:val="22"/>
        </w:rPr>
        <w:tab/>
        <w:t xml:space="preserve">Patel B, DeGroot H. Evaluation of the risk of pathologic fractures secondary to metastatic bone disease. </w:t>
      </w:r>
      <w:r w:rsidRPr="008D3362">
        <w:rPr>
          <w:i/>
          <w:sz w:val="22"/>
          <w:szCs w:val="22"/>
        </w:rPr>
        <w:t>Orthopedics</w:t>
      </w:r>
      <w:r>
        <w:rPr>
          <w:sz w:val="22"/>
          <w:szCs w:val="22"/>
        </w:rPr>
        <w:t xml:space="preserve"> 2001;24(6):612-7; quiz 618.</w:t>
      </w:r>
    </w:p>
    <w:p w14:paraId="6C7BC2B0" w14:textId="77777777" w:rsidR="008D3362" w:rsidRDefault="008D3362" w:rsidP="008D3362">
      <w:pPr>
        <w:ind w:left="560" w:hanging="560"/>
        <w:rPr>
          <w:sz w:val="22"/>
          <w:szCs w:val="22"/>
        </w:rPr>
      </w:pPr>
      <w:r>
        <w:rPr>
          <w:sz w:val="22"/>
          <w:szCs w:val="22"/>
        </w:rPr>
        <w:t xml:space="preserve">6. </w:t>
      </w:r>
      <w:r>
        <w:rPr>
          <w:sz w:val="22"/>
          <w:szCs w:val="22"/>
        </w:rPr>
        <w:tab/>
        <w:t xml:space="preserve">Beals R, Lawton G, Snell W. Prophylactic Internal Fixation of the Femur in Metastatic Breast Cancer. </w:t>
      </w:r>
      <w:r w:rsidRPr="008D3362">
        <w:rPr>
          <w:i/>
          <w:sz w:val="22"/>
          <w:szCs w:val="22"/>
        </w:rPr>
        <w:t>Cancer</w:t>
      </w:r>
      <w:r>
        <w:rPr>
          <w:sz w:val="22"/>
          <w:szCs w:val="22"/>
        </w:rPr>
        <w:t xml:space="preserve"> 1971;28(5):1350-1354.</w:t>
      </w:r>
    </w:p>
    <w:p w14:paraId="16C98E13" w14:textId="77777777" w:rsidR="008D3362" w:rsidRDefault="008D3362" w:rsidP="008D3362">
      <w:pPr>
        <w:ind w:left="560" w:hanging="560"/>
        <w:rPr>
          <w:sz w:val="22"/>
          <w:szCs w:val="22"/>
        </w:rPr>
      </w:pPr>
      <w:r>
        <w:rPr>
          <w:sz w:val="22"/>
          <w:szCs w:val="22"/>
        </w:rPr>
        <w:t xml:space="preserve">7. </w:t>
      </w:r>
      <w:r>
        <w:rPr>
          <w:sz w:val="22"/>
          <w:szCs w:val="22"/>
        </w:rPr>
        <w:tab/>
        <w:t xml:space="preserve">Dijkstra PDS, Oudkerk M, Wiggers T. Prediction of pathological subtrochanteric fractures due to metastatic lesions. </w:t>
      </w:r>
      <w:r w:rsidRPr="008D3362">
        <w:rPr>
          <w:i/>
          <w:sz w:val="22"/>
          <w:szCs w:val="22"/>
        </w:rPr>
        <w:t>Arch Orthop Trauma Surg</w:t>
      </w:r>
      <w:r>
        <w:rPr>
          <w:sz w:val="22"/>
          <w:szCs w:val="22"/>
        </w:rPr>
        <w:t xml:space="preserve"> 1997;116:221-224.</w:t>
      </w:r>
    </w:p>
    <w:p w14:paraId="633DCDCC" w14:textId="77777777" w:rsidR="008D3362" w:rsidRDefault="008D3362" w:rsidP="008D3362">
      <w:pPr>
        <w:ind w:left="560" w:hanging="560"/>
        <w:rPr>
          <w:sz w:val="22"/>
          <w:szCs w:val="22"/>
        </w:rPr>
      </w:pPr>
      <w:r>
        <w:rPr>
          <w:sz w:val="22"/>
          <w:szCs w:val="22"/>
        </w:rPr>
        <w:t xml:space="preserve">8. </w:t>
      </w:r>
      <w:r>
        <w:rPr>
          <w:sz w:val="22"/>
          <w:szCs w:val="22"/>
        </w:rPr>
        <w:tab/>
        <w:t xml:space="preserve">Sheill G, Guinan EM, Peat N, Hussey J. Considerations for exercise prescription in patients with bone metastases: A comprehensive narrative review. </w:t>
      </w:r>
      <w:r w:rsidRPr="008D3362">
        <w:rPr>
          <w:i/>
          <w:sz w:val="22"/>
          <w:szCs w:val="22"/>
        </w:rPr>
        <w:t>PM R</w:t>
      </w:r>
      <w:r>
        <w:rPr>
          <w:sz w:val="22"/>
          <w:szCs w:val="22"/>
        </w:rPr>
        <w:t xml:space="preserve"> 2018;10(8):843-864. doi:10.1016/j.pmrj.2018.02.006.</w:t>
      </w:r>
    </w:p>
    <w:p w14:paraId="6B2DEAA5" w14:textId="77777777" w:rsidR="008D3362" w:rsidRDefault="008D3362" w:rsidP="008D3362">
      <w:pPr>
        <w:ind w:left="560" w:hanging="560"/>
        <w:rPr>
          <w:sz w:val="22"/>
          <w:szCs w:val="22"/>
        </w:rPr>
      </w:pPr>
      <w:r>
        <w:rPr>
          <w:sz w:val="22"/>
          <w:szCs w:val="22"/>
        </w:rPr>
        <w:t xml:space="preserve">9. </w:t>
      </w:r>
      <w:r>
        <w:rPr>
          <w:sz w:val="22"/>
          <w:szCs w:val="22"/>
        </w:rPr>
        <w:tab/>
        <w:t xml:space="preserve">Wang A, Obertová Z, Brown C, et al. Risk of fracture in men with prostate cancer on androgen deprivation therapy: a population-based cohort study in New Zealand. </w:t>
      </w:r>
      <w:r w:rsidRPr="008D3362">
        <w:rPr>
          <w:i/>
          <w:sz w:val="22"/>
          <w:szCs w:val="22"/>
        </w:rPr>
        <w:t>BMC Cancer</w:t>
      </w:r>
      <w:r>
        <w:rPr>
          <w:sz w:val="22"/>
          <w:szCs w:val="22"/>
        </w:rPr>
        <w:t xml:space="preserve"> 2015;15:837. doi:10.1186/s12885-015-1843-3.</w:t>
      </w:r>
    </w:p>
    <w:p w14:paraId="31CD64D0" w14:textId="77777777" w:rsidR="008D3362" w:rsidRDefault="008D3362" w:rsidP="008D3362">
      <w:pPr>
        <w:ind w:left="560" w:hanging="560"/>
        <w:rPr>
          <w:sz w:val="22"/>
          <w:szCs w:val="22"/>
        </w:rPr>
      </w:pPr>
      <w:r>
        <w:rPr>
          <w:sz w:val="22"/>
          <w:szCs w:val="22"/>
        </w:rPr>
        <w:t xml:space="preserve">10. </w:t>
      </w:r>
      <w:r>
        <w:rPr>
          <w:sz w:val="22"/>
          <w:szCs w:val="22"/>
        </w:rPr>
        <w:tab/>
        <w:t xml:space="preserve">Alibhai SMH, Duong-Hua M, Cheung AM, et al. Fracture types and risk factors in men with prostate cancer on androgen deprivation therapy: a matched cohort study of 19,079 men. </w:t>
      </w:r>
      <w:r w:rsidRPr="008D3362">
        <w:rPr>
          <w:i/>
          <w:sz w:val="22"/>
          <w:szCs w:val="22"/>
        </w:rPr>
        <w:t>J Urol</w:t>
      </w:r>
      <w:r>
        <w:rPr>
          <w:sz w:val="22"/>
          <w:szCs w:val="22"/>
        </w:rPr>
        <w:t xml:space="preserve"> 2010;184(3):918-923. doi:10.1016/j.juro.2010.04.068.</w:t>
      </w:r>
    </w:p>
    <w:p w14:paraId="5785E8EA" w14:textId="77777777" w:rsidR="008D3362" w:rsidRDefault="008D3362" w:rsidP="008D3362">
      <w:pPr>
        <w:ind w:left="560" w:hanging="560"/>
        <w:rPr>
          <w:sz w:val="22"/>
          <w:szCs w:val="22"/>
        </w:rPr>
      </w:pPr>
      <w:r>
        <w:rPr>
          <w:sz w:val="22"/>
          <w:szCs w:val="22"/>
        </w:rPr>
        <w:t xml:space="preserve">11. </w:t>
      </w:r>
      <w:r>
        <w:rPr>
          <w:sz w:val="22"/>
          <w:szCs w:val="22"/>
        </w:rPr>
        <w:tab/>
        <w:t xml:space="preserve">Shahinian VB, Kuo Y-F, Freeman JL, Goodwin JS. Risk of fracture after androgen deprivation for prostate cancer. </w:t>
      </w:r>
      <w:r w:rsidRPr="008D3362">
        <w:rPr>
          <w:i/>
          <w:sz w:val="22"/>
          <w:szCs w:val="22"/>
        </w:rPr>
        <w:t>N Engl J Med</w:t>
      </w:r>
      <w:r>
        <w:rPr>
          <w:sz w:val="22"/>
          <w:szCs w:val="22"/>
        </w:rPr>
        <w:t xml:space="preserve"> 2005;352(2):154-164. doi:10.1056/NEJMoa041943.</w:t>
      </w:r>
    </w:p>
    <w:p w14:paraId="497C1CC6" w14:textId="77777777" w:rsidR="008D3362" w:rsidRDefault="008D3362" w:rsidP="008D3362">
      <w:pPr>
        <w:ind w:left="560" w:hanging="560"/>
        <w:rPr>
          <w:sz w:val="22"/>
          <w:szCs w:val="22"/>
        </w:rPr>
      </w:pPr>
      <w:r>
        <w:rPr>
          <w:sz w:val="22"/>
          <w:szCs w:val="22"/>
        </w:rPr>
        <w:t xml:space="preserve">12. </w:t>
      </w:r>
      <w:r>
        <w:rPr>
          <w:sz w:val="22"/>
          <w:szCs w:val="22"/>
        </w:rPr>
        <w:tab/>
        <w:t xml:space="preserve">Townsend MF, Sanders WH, Northway RO, Graham SD. Bone fractures associated with luteinizing hormone-releasing hormone agonists used in the treatment of prostate carcinoma. </w:t>
      </w:r>
      <w:r w:rsidRPr="008D3362">
        <w:rPr>
          <w:i/>
          <w:sz w:val="22"/>
          <w:szCs w:val="22"/>
        </w:rPr>
        <w:t>Cancer</w:t>
      </w:r>
      <w:r>
        <w:rPr>
          <w:sz w:val="22"/>
          <w:szCs w:val="22"/>
        </w:rPr>
        <w:t xml:space="preserve"> 1997;79(3):545-550. doi:10.1002/(SICI)1097-0142(19970201)79:3&lt;545::AID-CNCR17&gt;3.0.CO;2-3.</w:t>
      </w:r>
    </w:p>
    <w:p w14:paraId="7EE07699" w14:textId="77777777" w:rsidR="008D3362" w:rsidRDefault="008D3362" w:rsidP="008D3362">
      <w:pPr>
        <w:ind w:left="560" w:hanging="560"/>
        <w:rPr>
          <w:sz w:val="22"/>
          <w:szCs w:val="22"/>
        </w:rPr>
      </w:pPr>
      <w:r>
        <w:rPr>
          <w:sz w:val="22"/>
          <w:szCs w:val="22"/>
        </w:rPr>
        <w:t xml:space="preserve">13. </w:t>
      </w:r>
      <w:r>
        <w:rPr>
          <w:sz w:val="22"/>
          <w:szCs w:val="22"/>
        </w:rPr>
        <w:tab/>
        <w:t xml:space="preserve">Klaassen Z, Howard LE, de Hoedt A, et al. Factors predicting skeletal-related events in patients with bone metastatic castration-resistant prostate cancer. </w:t>
      </w:r>
      <w:r w:rsidRPr="008D3362">
        <w:rPr>
          <w:i/>
          <w:sz w:val="22"/>
          <w:szCs w:val="22"/>
        </w:rPr>
        <w:t>Cancer</w:t>
      </w:r>
      <w:r>
        <w:rPr>
          <w:sz w:val="22"/>
          <w:szCs w:val="22"/>
        </w:rPr>
        <w:t xml:space="preserve"> 2017;123(9):1528-1535. doi:10.1002/cncr.30505.</w:t>
      </w:r>
    </w:p>
    <w:p w14:paraId="46AEAA44" w14:textId="3968A721" w:rsidR="00076B24" w:rsidRPr="00100966" w:rsidRDefault="008D3362" w:rsidP="008D3362">
      <w:pPr>
        <w:ind w:left="560" w:hanging="560"/>
        <w:rPr>
          <w:sz w:val="22"/>
          <w:szCs w:val="22"/>
        </w:rPr>
      </w:pPr>
      <w:r>
        <w:rPr>
          <w:sz w:val="22"/>
          <w:szCs w:val="22"/>
        </w:rPr>
        <w:fldChar w:fldCharType="end"/>
      </w:r>
    </w:p>
    <w:sectPr w:rsidR="00076B24" w:rsidRPr="00100966" w:rsidSect="00974D7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0F64" w14:textId="77777777" w:rsidR="002674AC" w:rsidRDefault="002674AC" w:rsidP="008C59AD">
      <w:r>
        <w:separator/>
      </w:r>
    </w:p>
  </w:endnote>
  <w:endnote w:type="continuationSeparator" w:id="0">
    <w:p w14:paraId="274CCA4F" w14:textId="77777777" w:rsidR="002674AC" w:rsidRDefault="002674AC" w:rsidP="008C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D814" w14:textId="77777777" w:rsidR="003E23EB" w:rsidRDefault="003E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97406"/>
      <w:docPartObj>
        <w:docPartGallery w:val="Page Numbers (Bottom of Page)"/>
        <w:docPartUnique/>
      </w:docPartObj>
    </w:sdtPr>
    <w:sdtEndPr>
      <w:rPr>
        <w:noProof/>
      </w:rPr>
    </w:sdtEndPr>
    <w:sdtContent>
      <w:p w14:paraId="217BB2D2" w14:textId="77847F4E" w:rsidR="003E23EB" w:rsidRDefault="003E23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981907" w14:textId="77777777" w:rsidR="003E23EB" w:rsidRDefault="003E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77B5" w14:textId="77777777" w:rsidR="003E23EB" w:rsidRDefault="003E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F201" w14:textId="77777777" w:rsidR="002674AC" w:rsidRDefault="002674AC" w:rsidP="008C59AD">
      <w:r>
        <w:separator/>
      </w:r>
    </w:p>
  </w:footnote>
  <w:footnote w:type="continuationSeparator" w:id="0">
    <w:p w14:paraId="61CCC3EB" w14:textId="77777777" w:rsidR="002674AC" w:rsidRDefault="002674AC" w:rsidP="008C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45F7" w14:textId="77777777" w:rsidR="003E23EB" w:rsidRDefault="003E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D099" w14:textId="77777777" w:rsidR="003E23EB" w:rsidRDefault="003E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6CDB" w14:textId="77777777" w:rsidR="003E23EB" w:rsidRDefault="003E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5173C"/>
    <w:multiLevelType w:val="hybridMultilevel"/>
    <w:tmpl w:val="3D8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41"/>
    <w:rsid w:val="000007C8"/>
    <w:rsid w:val="00000FBC"/>
    <w:rsid w:val="00007C78"/>
    <w:rsid w:val="00011524"/>
    <w:rsid w:val="0003077C"/>
    <w:rsid w:val="00031B75"/>
    <w:rsid w:val="00032CE5"/>
    <w:rsid w:val="00037C39"/>
    <w:rsid w:val="00041993"/>
    <w:rsid w:val="00062978"/>
    <w:rsid w:val="00065342"/>
    <w:rsid w:val="000673E9"/>
    <w:rsid w:val="00071141"/>
    <w:rsid w:val="000720BF"/>
    <w:rsid w:val="00076B24"/>
    <w:rsid w:val="000812D1"/>
    <w:rsid w:val="00086374"/>
    <w:rsid w:val="00094346"/>
    <w:rsid w:val="00095F21"/>
    <w:rsid w:val="00096FD3"/>
    <w:rsid w:val="000A3088"/>
    <w:rsid w:val="000A420B"/>
    <w:rsid w:val="000B6756"/>
    <w:rsid w:val="000C6873"/>
    <w:rsid w:val="000D41B8"/>
    <w:rsid w:val="000D4FB8"/>
    <w:rsid w:val="000D6E21"/>
    <w:rsid w:val="000E1E2D"/>
    <w:rsid w:val="000F00A7"/>
    <w:rsid w:val="000F7D6F"/>
    <w:rsid w:val="00100966"/>
    <w:rsid w:val="00107D2E"/>
    <w:rsid w:val="00112C7C"/>
    <w:rsid w:val="001159D4"/>
    <w:rsid w:val="00120A87"/>
    <w:rsid w:val="001236AA"/>
    <w:rsid w:val="00131D6A"/>
    <w:rsid w:val="00155435"/>
    <w:rsid w:val="00166B7E"/>
    <w:rsid w:val="0017625A"/>
    <w:rsid w:val="00184AD4"/>
    <w:rsid w:val="00187646"/>
    <w:rsid w:val="00192EA8"/>
    <w:rsid w:val="00195D41"/>
    <w:rsid w:val="001B2238"/>
    <w:rsid w:val="001B48A7"/>
    <w:rsid w:val="001C4320"/>
    <w:rsid w:val="001C4624"/>
    <w:rsid w:val="001C613E"/>
    <w:rsid w:val="001C6F1A"/>
    <w:rsid w:val="001D2040"/>
    <w:rsid w:val="001D2CF0"/>
    <w:rsid w:val="001E0DB5"/>
    <w:rsid w:val="001E44F8"/>
    <w:rsid w:val="001F4366"/>
    <w:rsid w:val="00201E25"/>
    <w:rsid w:val="002022ED"/>
    <w:rsid w:val="00203084"/>
    <w:rsid w:val="0020560A"/>
    <w:rsid w:val="00206CA8"/>
    <w:rsid w:val="002071E7"/>
    <w:rsid w:val="00211913"/>
    <w:rsid w:val="002276D3"/>
    <w:rsid w:val="00234266"/>
    <w:rsid w:val="00236552"/>
    <w:rsid w:val="00237552"/>
    <w:rsid w:val="002406A3"/>
    <w:rsid w:val="002417D6"/>
    <w:rsid w:val="00241E1C"/>
    <w:rsid w:val="0024376D"/>
    <w:rsid w:val="00251809"/>
    <w:rsid w:val="002545FB"/>
    <w:rsid w:val="00254A95"/>
    <w:rsid w:val="00254B4C"/>
    <w:rsid w:val="00260C57"/>
    <w:rsid w:val="002630E4"/>
    <w:rsid w:val="002674AC"/>
    <w:rsid w:val="00272AA5"/>
    <w:rsid w:val="002753A1"/>
    <w:rsid w:val="002820CA"/>
    <w:rsid w:val="00291AF2"/>
    <w:rsid w:val="002971B7"/>
    <w:rsid w:val="002973F1"/>
    <w:rsid w:val="002C65FE"/>
    <w:rsid w:val="002D09DA"/>
    <w:rsid w:val="002E4318"/>
    <w:rsid w:val="002F1378"/>
    <w:rsid w:val="002F3106"/>
    <w:rsid w:val="002F39BF"/>
    <w:rsid w:val="00307988"/>
    <w:rsid w:val="00310DE6"/>
    <w:rsid w:val="00323916"/>
    <w:rsid w:val="00330B46"/>
    <w:rsid w:val="0033315B"/>
    <w:rsid w:val="003510B4"/>
    <w:rsid w:val="0035289D"/>
    <w:rsid w:val="00353698"/>
    <w:rsid w:val="00353948"/>
    <w:rsid w:val="00353E36"/>
    <w:rsid w:val="00372345"/>
    <w:rsid w:val="00373270"/>
    <w:rsid w:val="0038433D"/>
    <w:rsid w:val="003A754C"/>
    <w:rsid w:val="003B3F19"/>
    <w:rsid w:val="003E23EB"/>
    <w:rsid w:val="003F1B52"/>
    <w:rsid w:val="003F25AA"/>
    <w:rsid w:val="003F56A0"/>
    <w:rsid w:val="003F5786"/>
    <w:rsid w:val="003F59E6"/>
    <w:rsid w:val="003F6408"/>
    <w:rsid w:val="003F756E"/>
    <w:rsid w:val="00405109"/>
    <w:rsid w:val="00407B9B"/>
    <w:rsid w:val="00413FDA"/>
    <w:rsid w:val="004247B1"/>
    <w:rsid w:val="00427C1D"/>
    <w:rsid w:val="004300BC"/>
    <w:rsid w:val="0043197E"/>
    <w:rsid w:val="0043375A"/>
    <w:rsid w:val="004348FB"/>
    <w:rsid w:val="004466EF"/>
    <w:rsid w:val="004467FC"/>
    <w:rsid w:val="004504FC"/>
    <w:rsid w:val="0045579D"/>
    <w:rsid w:val="004604DE"/>
    <w:rsid w:val="00462B59"/>
    <w:rsid w:val="00467115"/>
    <w:rsid w:val="004674B5"/>
    <w:rsid w:val="004678E1"/>
    <w:rsid w:val="00471428"/>
    <w:rsid w:val="00474598"/>
    <w:rsid w:val="0047767F"/>
    <w:rsid w:val="00482C2C"/>
    <w:rsid w:val="004864AD"/>
    <w:rsid w:val="0049228C"/>
    <w:rsid w:val="00493831"/>
    <w:rsid w:val="004A1192"/>
    <w:rsid w:val="004B5A3D"/>
    <w:rsid w:val="004C0646"/>
    <w:rsid w:val="004C4579"/>
    <w:rsid w:val="004C4D60"/>
    <w:rsid w:val="004D1A6D"/>
    <w:rsid w:val="004D5E59"/>
    <w:rsid w:val="004E47FA"/>
    <w:rsid w:val="004F3D2B"/>
    <w:rsid w:val="005206B9"/>
    <w:rsid w:val="00523414"/>
    <w:rsid w:val="00526298"/>
    <w:rsid w:val="00542753"/>
    <w:rsid w:val="00543BB6"/>
    <w:rsid w:val="00552D1A"/>
    <w:rsid w:val="00554215"/>
    <w:rsid w:val="005543B0"/>
    <w:rsid w:val="0055567C"/>
    <w:rsid w:val="00556C4C"/>
    <w:rsid w:val="00556CFC"/>
    <w:rsid w:val="005634DA"/>
    <w:rsid w:val="00570F94"/>
    <w:rsid w:val="00572F95"/>
    <w:rsid w:val="00575816"/>
    <w:rsid w:val="0058135E"/>
    <w:rsid w:val="00591357"/>
    <w:rsid w:val="00597A36"/>
    <w:rsid w:val="005A00A3"/>
    <w:rsid w:val="005A1313"/>
    <w:rsid w:val="005B0E46"/>
    <w:rsid w:val="005B3B43"/>
    <w:rsid w:val="005B58F3"/>
    <w:rsid w:val="005C122D"/>
    <w:rsid w:val="005D19C2"/>
    <w:rsid w:val="005E4B19"/>
    <w:rsid w:val="005F449F"/>
    <w:rsid w:val="005F5D94"/>
    <w:rsid w:val="005F6EE8"/>
    <w:rsid w:val="00610201"/>
    <w:rsid w:val="00612734"/>
    <w:rsid w:val="006211DB"/>
    <w:rsid w:val="00626BD7"/>
    <w:rsid w:val="0063061D"/>
    <w:rsid w:val="00636334"/>
    <w:rsid w:val="0064004D"/>
    <w:rsid w:val="006507A9"/>
    <w:rsid w:val="00651DC2"/>
    <w:rsid w:val="006568F4"/>
    <w:rsid w:val="006601FD"/>
    <w:rsid w:val="00672278"/>
    <w:rsid w:val="00690962"/>
    <w:rsid w:val="006A3F48"/>
    <w:rsid w:val="006B591B"/>
    <w:rsid w:val="006B6226"/>
    <w:rsid w:val="006B7182"/>
    <w:rsid w:val="006C455B"/>
    <w:rsid w:val="006D2DF1"/>
    <w:rsid w:val="006E2430"/>
    <w:rsid w:val="006E6C34"/>
    <w:rsid w:val="006F16E5"/>
    <w:rsid w:val="0070167A"/>
    <w:rsid w:val="007032E0"/>
    <w:rsid w:val="007063E2"/>
    <w:rsid w:val="007120C4"/>
    <w:rsid w:val="007124E5"/>
    <w:rsid w:val="00716137"/>
    <w:rsid w:val="00722E3A"/>
    <w:rsid w:val="00726BB7"/>
    <w:rsid w:val="00727461"/>
    <w:rsid w:val="00727678"/>
    <w:rsid w:val="0073450B"/>
    <w:rsid w:val="007354BE"/>
    <w:rsid w:val="00742B3F"/>
    <w:rsid w:val="00750C85"/>
    <w:rsid w:val="00750FB0"/>
    <w:rsid w:val="007613E1"/>
    <w:rsid w:val="00763309"/>
    <w:rsid w:val="0076645A"/>
    <w:rsid w:val="00766B27"/>
    <w:rsid w:val="00771669"/>
    <w:rsid w:val="007752F5"/>
    <w:rsid w:val="00775D4F"/>
    <w:rsid w:val="007A3B6B"/>
    <w:rsid w:val="007B387F"/>
    <w:rsid w:val="007C3BDB"/>
    <w:rsid w:val="007C7986"/>
    <w:rsid w:val="007D4DAD"/>
    <w:rsid w:val="007D526E"/>
    <w:rsid w:val="007D5B32"/>
    <w:rsid w:val="007F0EDD"/>
    <w:rsid w:val="007F1818"/>
    <w:rsid w:val="00801B9C"/>
    <w:rsid w:val="00802F6D"/>
    <w:rsid w:val="008071C3"/>
    <w:rsid w:val="00823F68"/>
    <w:rsid w:val="00824444"/>
    <w:rsid w:val="00830B02"/>
    <w:rsid w:val="00831173"/>
    <w:rsid w:val="00840DCA"/>
    <w:rsid w:val="0084539A"/>
    <w:rsid w:val="00846964"/>
    <w:rsid w:val="00865B30"/>
    <w:rsid w:val="00866907"/>
    <w:rsid w:val="00871F65"/>
    <w:rsid w:val="00881D77"/>
    <w:rsid w:val="0088503B"/>
    <w:rsid w:val="00886D8A"/>
    <w:rsid w:val="0088762F"/>
    <w:rsid w:val="00895B96"/>
    <w:rsid w:val="0089746B"/>
    <w:rsid w:val="008A0848"/>
    <w:rsid w:val="008A1BB7"/>
    <w:rsid w:val="008A50DC"/>
    <w:rsid w:val="008B3E7E"/>
    <w:rsid w:val="008B4A74"/>
    <w:rsid w:val="008B55C9"/>
    <w:rsid w:val="008C41A9"/>
    <w:rsid w:val="008C59AD"/>
    <w:rsid w:val="008C5CD9"/>
    <w:rsid w:val="008D04B8"/>
    <w:rsid w:val="008D1565"/>
    <w:rsid w:val="008D3362"/>
    <w:rsid w:val="008D5D88"/>
    <w:rsid w:val="008F2787"/>
    <w:rsid w:val="008F7633"/>
    <w:rsid w:val="00900C2C"/>
    <w:rsid w:val="009121E0"/>
    <w:rsid w:val="009138E6"/>
    <w:rsid w:val="009155B4"/>
    <w:rsid w:val="009211A8"/>
    <w:rsid w:val="00931276"/>
    <w:rsid w:val="00934562"/>
    <w:rsid w:val="00937616"/>
    <w:rsid w:val="00941B33"/>
    <w:rsid w:val="009473CB"/>
    <w:rsid w:val="00954176"/>
    <w:rsid w:val="00960689"/>
    <w:rsid w:val="009644AC"/>
    <w:rsid w:val="00974D7E"/>
    <w:rsid w:val="009754A2"/>
    <w:rsid w:val="0098069A"/>
    <w:rsid w:val="00984074"/>
    <w:rsid w:val="009A332A"/>
    <w:rsid w:val="009A442F"/>
    <w:rsid w:val="009B0748"/>
    <w:rsid w:val="009B2E50"/>
    <w:rsid w:val="009C33EF"/>
    <w:rsid w:val="009D00F3"/>
    <w:rsid w:val="009E189A"/>
    <w:rsid w:val="009E31D1"/>
    <w:rsid w:val="009E4800"/>
    <w:rsid w:val="009E4D1D"/>
    <w:rsid w:val="009E7945"/>
    <w:rsid w:val="009E7BBF"/>
    <w:rsid w:val="009F09D0"/>
    <w:rsid w:val="009F0FDF"/>
    <w:rsid w:val="009F1B3F"/>
    <w:rsid w:val="009F3BA6"/>
    <w:rsid w:val="00A245F9"/>
    <w:rsid w:val="00A36CC6"/>
    <w:rsid w:val="00A44442"/>
    <w:rsid w:val="00A53848"/>
    <w:rsid w:val="00A617E9"/>
    <w:rsid w:val="00A715B9"/>
    <w:rsid w:val="00A756D2"/>
    <w:rsid w:val="00A90B0A"/>
    <w:rsid w:val="00AA41AD"/>
    <w:rsid w:val="00AA57DD"/>
    <w:rsid w:val="00AB172F"/>
    <w:rsid w:val="00AB2C4E"/>
    <w:rsid w:val="00AC60D5"/>
    <w:rsid w:val="00AC6184"/>
    <w:rsid w:val="00AF2ADF"/>
    <w:rsid w:val="00AF6AD8"/>
    <w:rsid w:val="00AF6F12"/>
    <w:rsid w:val="00AF73AF"/>
    <w:rsid w:val="00B00A49"/>
    <w:rsid w:val="00B041D4"/>
    <w:rsid w:val="00B12276"/>
    <w:rsid w:val="00B130BD"/>
    <w:rsid w:val="00B2403C"/>
    <w:rsid w:val="00B246C9"/>
    <w:rsid w:val="00B24C10"/>
    <w:rsid w:val="00B301C2"/>
    <w:rsid w:val="00B452B0"/>
    <w:rsid w:val="00B464BD"/>
    <w:rsid w:val="00B50022"/>
    <w:rsid w:val="00B5391C"/>
    <w:rsid w:val="00B55E51"/>
    <w:rsid w:val="00B611DA"/>
    <w:rsid w:val="00B668A5"/>
    <w:rsid w:val="00B71A95"/>
    <w:rsid w:val="00B77F23"/>
    <w:rsid w:val="00B911D8"/>
    <w:rsid w:val="00B95F00"/>
    <w:rsid w:val="00B96545"/>
    <w:rsid w:val="00BC3E6E"/>
    <w:rsid w:val="00BC4819"/>
    <w:rsid w:val="00BC6363"/>
    <w:rsid w:val="00BC7BD4"/>
    <w:rsid w:val="00BD02C8"/>
    <w:rsid w:val="00BD588E"/>
    <w:rsid w:val="00BD60ED"/>
    <w:rsid w:val="00BD78B1"/>
    <w:rsid w:val="00BE321C"/>
    <w:rsid w:val="00BF49A0"/>
    <w:rsid w:val="00BF6DA3"/>
    <w:rsid w:val="00BF7BAB"/>
    <w:rsid w:val="00C01398"/>
    <w:rsid w:val="00C04D2A"/>
    <w:rsid w:val="00C068BE"/>
    <w:rsid w:val="00C204CD"/>
    <w:rsid w:val="00C228A4"/>
    <w:rsid w:val="00C343D0"/>
    <w:rsid w:val="00C50D85"/>
    <w:rsid w:val="00C755A1"/>
    <w:rsid w:val="00C75D4A"/>
    <w:rsid w:val="00C95A62"/>
    <w:rsid w:val="00CA48B9"/>
    <w:rsid w:val="00CB1F9C"/>
    <w:rsid w:val="00CB436F"/>
    <w:rsid w:val="00CB61D3"/>
    <w:rsid w:val="00CC1E8A"/>
    <w:rsid w:val="00CC45A4"/>
    <w:rsid w:val="00CD30F0"/>
    <w:rsid w:val="00CE15B9"/>
    <w:rsid w:val="00D0775A"/>
    <w:rsid w:val="00D119C4"/>
    <w:rsid w:val="00D21349"/>
    <w:rsid w:val="00D24586"/>
    <w:rsid w:val="00D27EAC"/>
    <w:rsid w:val="00D40EFB"/>
    <w:rsid w:val="00D51B18"/>
    <w:rsid w:val="00D525A7"/>
    <w:rsid w:val="00D6218F"/>
    <w:rsid w:val="00D62B73"/>
    <w:rsid w:val="00D66B95"/>
    <w:rsid w:val="00D70B73"/>
    <w:rsid w:val="00D7242F"/>
    <w:rsid w:val="00D7488B"/>
    <w:rsid w:val="00D816BE"/>
    <w:rsid w:val="00D830A7"/>
    <w:rsid w:val="00D9642E"/>
    <w:rsid w:val="00DA7245"/>
    <w:rsid w:val="00DB42AD"/>
    <w:rsid w:val="00DB513E"/>
    <w:rsid w:val="00DB536A"/>
    <w:rsid w:val="00DC5C76"/>
    <w:rsid w:val="00DD56FF"/>
    <w:rsid w:val="00DE1682"/>
    <w:rsid w:val="00DE1AA7"/>
    <w:rsid w:val="00DE5E6B"/>
    <w:rsid w:val="00DF444C"/>
    <w:rsid w:val="00DF631C"/>
    <w:rsid w:val="00E0373F"/>
    <w:rsid w:val="00E2336D"/>
    <w:rsid w:val="00E53C35"/>
    <w:rsid w:val="00E64CC9"/>
    <w:rsid w:val="00E66B3A"/>
    <w:rsid w:val="00E7235C"/>
    <w:rsid w:val="00E724AC"/>
    <w:rsid w:val="00EB4133"/>
    <w:rsid w:val="00ED077F"/>
    <w:rsid w:val="00EF0360"/>
    <w:rsid w:val="00F108EA"/>
    <w:rsid w:val="00F1461A"/>
    <w:rsid w:val="00F27C28"/>
    <w:rsid w:val="00F370EC"/>
    <w:rsid w:val="00F41786"/>
    <w:rsid w:val="00F469B2"/>
    <w:rsid w:val="00F46B16"/>
    <w:rsid w:val="00F4718A"/>
    <w:rsid w:val="00F639AF"/>
    <w:rsid w:val="00F84D1F"/>
    <w:rsid w:val="00FA3569"/>
    <w:rsid w:val="00FC7D03"/>
    <w:rsid w:val="00FD599C"/>
    <w:rsid w:val="00FF056B"/>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0CD3"/>
  <w15:chartTrackingRefBased/>
  <w15:docId w15:val="{32B72D4F-4BA9-4228-93EA-C639443F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E8A"/>
    <w:pPr>
      <w:ind w:left="720"/>
      <w:contextualSpacing/>
    </w:pPr>
  </w:style>
  <w:style w:type="paragraph" w:styleId="Header">
    <w:name w:val="header"/>
    <w:basedOn w:val="Normal"/>
    <w:link w:val="HeaderChar"/>
    <w:uiPriority w:val="99"/>
    <w:unhideWhenUsed/>
    <w:rsid w:val="008C59AD"/>
    <w:pPr>
      <w:tabs>
        <w:tab w:val="center" w:pos="4680"/>
        <w:tab w:val="right" w:pos="9360"/>
      </w:tabs>
    </w:pPr>
  </w:style>
  <w:style w:type="character" w:customStyle="1" w:styleId="HeaderChar">
    <w:name w:val="Header Char"/>
    <w:basedOn w:val="DefaultParagraphFont"/>
    <w:link w:val="Header"/>
    <w:uiPriority w:val="99"/>
    <w:rsid w:val="008C5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9AD"/>
    <w:pPr>
      <w:tabs>
        <w:tab w:val="center" w:pos="4680"/>
        <w:tab w:val="right" w:pos="9360"/>
      </w:tabs>
    </w:pPr>
  </w:style>
  <w:style w:type="character" w:customStyle="1" w:styleId="FooterChar">
    <w:name w:val="Footer Char"/>
    <w:basedOn w:val="DefaultParagraphFont"/>
    <w:link w:val="Footer"/>
    <w:uiPriority w:val="99"/>
    <w:rsid w:val="008C59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9060</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Lewis</dc:creator>
  <cp:keywords/>
  <dc:description/>
  <cp:lastModifiedBy>Ashley Lewis</cp:lastModifiedBy>
  <cp:revision>4</cp:revision>
  <dcterms:created xsi:type="dcterms:W3CDTF">2019-04-14T16:54:00Z</dcterms:created>
  <dcterms:modified xsi:type="dcterms:W3CDTF">2019-04-14T18:07:00Z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577395</vt:lpwstr>
  </property>
  <property fmtid="{D5CDD505-2E9C-101B-9397-08002B2CF9AE}" pid="3" name="ProjectId">
    <vt:lpwstr>-1</vt:lpwstr>
  </property>
  <property fmtid="{D5CDD505-2E9C-101B-9397-08002B2CF9AE}" pid="4" name="AutoFormat">
    <vt:lpwstr>True</vt:lpwstr>
  </property>
  <property fmtid="{D5CDD505-2E9C-101B-9397-08002B2CF9AE}" pid="5" name="InsertAsFootnote">
    <vt:lpwstr>False</vt:lpwstr>
  </property>
  <property fmtid="{D5CDD505-2E9C-101B-9397-08002B2CF9AE}" pid="6" name="StyleId">
    <vt:lpwstr>http://www.zotero.org/styles/american-medical-association</vt:lpwstr>
  </property>
</Properties>
</file>