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auto"/>
        </w:tblBorders>
        <w:tblLook w:val="01E0" w:firstRow="1" w:lastRow="1" w:firstColumn="1" w:lastColumn="1" w:noHBand="0" w:noVBand="0"/>
      </w:tblPr>
      <w:tblGrid>
        <w:gridCol w:w="10205"/>
      </w:tblGrid>
      <w:tr w:rsidR="005263ED" w14:paraId="20CEE74A" w14:textId="77777777" w:rsidTr="002F16E1">
        <w:tc>
          <w:tcPr>
            <w:tcW w:w="10421" w:type="dxa"/>
            <w:shd w:val="clear" w:color="auto" w:fill="auto"/>
          </w:tcPr>
          <w:p w14:paraId="19BA72B2" w14:textId="77777777" w:rsidR="005263ED" w:rsidRPr="002F16E1" w:rsidRDefault="00196026" w:rsidP="002F16E1">
            <w:pPr>
              <w:jc w:val="center"/>
              <w:rPr>
                <w:b/>
                <w:sz w:val="18"/>
                <w:szCs w:val="18"/>
              </w:rPr>
            </w:pPr>
            <w:r w:rsidRPr="002F16E1">
              <w:rPr>
                <w:b/>
                <w:sz w:val="18"/>
                <w:szCs w:val="18"/>
              </w:rPr>
              <w:t>CRITICALLY APPRAISED TOPIC</w:t>
            </w:r>
          </w:p>
        </w:tc>
      </w:tr>
    </w:tbl>
    <w:p w14:paraId="3C8BC671" w14:textId="77777777"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8B5180" w:rsidRPr="002F16E1" w14:paraId="56C52D2E" w14:textId="77777777" w:rsidTr="002F16E1">
        <w:tc>
          <w:tcPr>
            <w:tcW w:w="10421" w:type="dxa"/>
            <w:shd w:val="clear" w:color="auto" w:fill="auto"/>
          </w:tcPr>
          <w:p w14:paraId="5948BE9B" w14:textId="3B03C195" w:rsidR="008B5180" w:rsidRPr="00486767" w:rsidRDefault="00486767" w:rsidP="002F16E1">
            <w:pPr>
              <w:spacing w:before="120" w:after="120"/>
              <w:rPr>
                <w:sz w:val="18"/>
                <w:szCs w:val="18"/>
              </w:rPr>
            </w:pPr>
            <w:r>
              <w:rPr>
                <w:sz w:val="18"/>
                <w:szCs w:val="18"/>
              </w:rPr>
              <w:t>In females over 65 with chronic low back pain, is pain neuroscience education combined with therapeutic exercise more effective than therapeutic exercise alone in improving functional outcome scores?</w:t>
            </w:r>
          </w:p>
        </w:tc>
      </w:tr>
    </w:tbl>
    <w:p w14:paraId="656314A0" w14:textId="77777777" w:rsidR="00554FFC" w:rsidRDefault="00554FFC" w:rsidP="00077862">
      <w:pPr>
        <w:spacing w:before="120" w:after="120"/>
        <w:rPr>
          <w:b/>
          <w:sz w:val="18"/>
          <w:szCs w:val="18"/>
        </w:rPr>
      </w:pPr>
    </w:p>
    <w:p w14:paraId="251B32F1" w14:textId="77777777"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4668"/>
        <w:gridCol w:w="1093"/>
        <w:gridCol w:w="2553"/>
      </w:tblGrid>
      <w:tr w:rsidR="003A6741" w:rsidRPr="002F16E1" w14:paraId="6DBA9EFD" w14:textId="77777777" w:rsidTr="002F16E1">
        <w:tc>
          <w:tcPr>
            <w:tcW w:w="1908" w:type="dxa"/>
            <w:shd w:val="clear" w:color="auto" w:fill="auto"/>
          </w:tcPr>
          <w:p w14:paraId="1F7E01D9" w14:textId="77777777"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14:paraId="4019A172" w14:textId="7855D22D" w:rsidR="003A6741" w:rsidRPr="002F16E1" w:rsidRDefault="00486767" w:rsidP="002F16E1">
            <w:pPr>
              <w:spacing w:before="120" w:after="120"/>
              <w:rPr>
                <w:sz w:val="18"/>
                <w:szCs w:val="18"/>
              </w:rPr>
            </w:pPr>
            <w:r>
              <w:rPr>
                <w:sz w:val="18"/>
                <w:szCs w:val="18"/>
              </w:rPr>
              <w:t>Rebecca Dou</w:t>
            </w:r>
          </w:p>
        </w:tc>
        <w:tc>
          <w:tcPr>
            <w:tcW w:w="1107" w:type="dxa"/>
            <w:shd w:val="clear" w:color="auto" w:fill="auto"/>
          </w:tcPr>
          <w:p w14:paraId="3253746C" w14:textId="77777777" w:rsidR="003A6741" w:rsidRPr="002F16E1" w:rsidRDefault="003A6741" w:rsidP="002F16E1">
            <w:pPr>
              <w:spacing w:before="120" w:after="120"/>
              <w:rPr>
                <w:b/>
                <w:sz w:val="18"/>
                <w:szCs w:val="18"/>
              </w:rPr>
            </w:pPr>
            <w:r w:rsidRPr="002F16E1">
              <w:rPr>
                <w:b/>
                <w:sz w:val="18"/>
                <w:szCs w:val="18"/>
              </w:rPr>
              <w:t>Date</w:t>
            </w:r>
          </w:p>
        </w:tc>
        <w:tc>
          <w:tcPr>
            <w:tcW w:w="2606" w:type="dxa"/>
            <w:shd w:val="clear" w:color="auto" w:fill="auto"/>
          </w:tcPr>
          <w:p w14:paraId="46A61D30" w14:textId="3DD65D5A" w:rsidR="003A6741" w:rsidRPr="002F16E1" w:rsidRDefault="00486767" w:rsidP="002F16E1">
            <w:pPr>
              <w:spacing w:before="120" w:after="120"/>
              <w:rPr>
                <w:sz w:val="18"/>
                <w:szCs w:val="18"/>
              </w:rPr>
            </w:pPr>
            <w:r>
              <w:rPr>
                <w:sz w:val="18"/>
                <w:szCs w:val="18"/>
              </w:rPr>
              <w:t>11/22/21</w:t>
            </w:r>
          </w:p>
        </w:tc>
      </w:tr>
      <w:tr w:rsidR="008B031E" w:rsidRPr="002F16E1" w14:paraId="20D245DB" w14:textId="77777777" w:rsidTr="002F16E1">
        <w:tc>
          <w:tcPr>
            <w:tcW w:w="1908" w:type="dxa"/>
            <w:shd w:val="clear" w:color="auto" w:fill="auto"/>
          </w:tcPr>
          <w:p w14:paraId="2B7246F9" w14:textId="77777777"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14:paraId="5A198A0F" w14:textId="10D9083C" w:rsidR="008B031E" w:rsidRPr="002F16E1" w:rsidRDefault="00486767" w:rsidP="002F16E1">
            <w:pPr>
              <w:spacing w:before="120" w:after="120"/>
              <w:rPr>
                <w:sz w:val="18"/>
                <w:szCs w:val="18"/>
              </w:rPr>
            </w:pPr>
            <w:r>
              <w:rPr>
                <w:sz w:val="18"/>
                <w:szCs w:val="18"/>
              </w:rPr>
              <w:t>rebecca_dou@med.unc.edu</w:t>
            </w:r>
          </w:p>
        </w:tc>
      </w:tr>
    </w:tbl>
    <w:p w14:paraId="3DCEA552" w14:textId="77777777" w:rsidR="00554FFC" w:rsidRDefault="00554FFC" w:rsidP="00A66A42">
      <w:pPr>
        <w:spacing w:before="120" w:after="120"/>
        <w:rPr>
          <w:b/>
          <w:sz w:val="18"/>
          <w:szCs w:val="18"/>
        </w:rPr>
      </w:pPr>
    </w:p>
    <w:p w14:paraId="3BA90E8F" w14:textId="77777777" w:rsidR="00FE7D95" w:rsidRDefault="00A66A42" w:rsidP="00A66A42">
      <w:pPr>
        <w:spacing w:before="120" w:after="120"/>
        <w:rPr>
          <w:b/>
          <w:sz w:val="18"/>
          <w:szCs w:val="18"/>
        </w:rPr>
      </w:pPr>
      <w:r w:rsidRPr="00A66A42">
        <w:rPr>
          <w:b/>
          <w:sz w:val="18"/>
          <w:szCs w:val="18"/>
        </w:rPr>
        <w:t>CLINI</w:t>
      </w:r>
      <w:r w:rsidR="00E45289">
        <w:rPr>
          <w:b/>
          <w:sz w:val="18"/>
          <w:szCs w:val="18"/>
        </w:rPr>
        <w:t>C</w:t>
      </w:r>
      <w:r w:rsidRPr="00A66A42">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A66A42" w:rsidRPr="002F16E1" w14:paraId="4066C840" w14:textId="77777777" w:rsidTr="002F16E1">
        <w:tc>
          <w:tcPr>
            <w:tcW w:w="10421" w:type="dxa"/>
            <w:shd w:val="clear" w:color="auto" w:fill="auto"/>
          </w:tcPr>
          <w:p w14:paraId="1A260A53" w14:textId="3347DCDC" w:rsidR="00A66A42" w:rsidRPr="008D7E09" w:rsidRDefault="009F350E" w:rsidP="002F16E1">
            <w:pPr>
              <w:spacing w:before="120" w:after="120"/>
              <w:rPr>
                <w:bCs/>
                <w:sz w:val="18"/>
                <w:szCs w:val="18"/>
                <w:lang w:val="en-US" w:eastAsia="zh-CN"/>
              </w:rPr>
            </w:pPr>
            <w:r w:rsidRPr="009F350E">
              <w:rPr>
                <w:bCs/>
                <w:sz w:val="18"/>
                <w:szCs w:val="18"/>
              </w:rPr>
              <w:t xml:space="preserve">The patient is </w:t>
            </w:r>
            <w:r>
              <w:rPr>
                <w:bCs/>
                <w:sz w:val="18"/>
                <w:szCs w:val="18"/>
              </w:rPr>
              <w:t xml:space="preserve">a </w:t>
            </w:r>
            <w:r w:rsidR="00FF6C47">
              <w:rPr>
                <w:bCs/>
                <w:sz w:val="18"/>
                <w:szCs w:val="18"/>
              </w:rPr>
              <w:t>67-year-old</w:t>
            </w:r>
            <w:r>
              <w:rPr>
                <w:bCs/>
                <w:sz w:val="18"/>
                <w:szCs w:val="18"/>
              </w:rPr>
              <w:t xml:space="preserve"> female who has had low back pain for &gt;10 years (“I can’t remember</w:t>
            </w:r>
            <w:r w:rsidR="00FF6C47">
              <w:rPr>
                <w:bCs/>
                <w:sz w:val="18"/>
                <w:szCs w:val="18"/>
              </w:rPr>
              <w:t xml:space="preserve"> what it was like</w:t>
            </w:r>
            <w:r>
              <w:rPr>
                <w:bCs/>
                <w:sz w:val="18"/>
                <w:szCs w:val="18"/>
              </w:rPr>
              <w:t xml:space="preserve"> when I didn’t have it”). </w:t>
            </w:r>
            <w:r w:rsidR="00FF6C47">
              <w:rPr>
                <w:bCs/>
                <w:sz w:val="18"/>
                <w:szCs w:val="18"/>
              </w:rPr>
              <w:t xml:space="preserve">She believes her pain began when she was </w:t>
            </w:r>
            <w:r w:rsidR="004259B3">
              <w:rPr>
                <w:bCs/>
                <w:sz w:val="18"/>
                <w:szCs w:val="18"/>
                <w:lang w:val="en-US" w:eastAsia="zh-CN"/>
              </w:rPr>
              <w:t xml:space="preserve">moving furniture in her </w:t>
            </w:r>
            <w:r w:rsidR="00542A9A">
              <w:rPr>
                <w:bCs/>
                <w:sz w:val="18"/>
                <w:szCs w:val="18"/>
                <w:lang w:val="en-US" w:eastAsia="zh-CN"/>
              </w:rPr>
              <w:t>home,</w:t>
            </w:r>
            <w:r w:rsidR="004259B3">
              <w:rPr>
                <w:bCs/>
                <w:sz w:val="18"/>
                <w:szCs w:val="18"/>
                <w:lang w:val="en-US" w:eastAsia="zh-CN"/>
              </w:rPr>
              <w:t xml:space="preserve"> and she</w:t>
            </w:r>
            <w:r w:rsidR="00A35286">
              <w:rPr>
                <w:bCs/>
                <w:sz w:val="18"/>
                <w:szCs w:val="18"/>
                <w:lang w:val="en-US" w:eastAsia="zh-CN"/>
              </w:rPr>
              <w:t xml:space="preserve"> was not able to </w:t>
            </w:r>
            <w:r w:rsidR="005F5ED0">
              <w:rPr>
                <w:bCs/>
                <w:sz w:val="18"/>
                <w:szCs w:val="18"/>
                <w:lang w:val="en-US" w:eastAsia="zh-CN"/>
              </w:rPr>
              <w:t>go see physical therapy</w:t>
            </w:r>
            <w:r w:rsidR="00542A9A">
              <w:rPr>
                <w:bCs/>
                <w:sz w:val="18"/>
                <w:szCs w:val="18"/>
                <w:lang w:val="en-US" w:eastAsia="zh-CN"/>
              </w:rPr>
              <w:t xml:space="preserve"> initially</w:t>
            </w:r>
            <w:r w:rsidR="005F5ED0">
              <w:rPr>
                <w:bCs/>
                <w:sz w:val="18"/>
                <w:szCs w:val="18"/>
                <w:lang w:val="en-US" w:eastAsia="zh-CN"/>
              </w:rPr>
              <w:t xml:space="preserve"> for it due to </w:t>
            </w:r>
            <w:r w:rsidR="00542A9A">
              <w:rPr>
                <w:bCs/>
                <w:sz w:val="18"/>
                <w:szCs w:val="18"/>
                <w:lang w:val="en-US" w:eastAsia="zh-CN"/>
              </w:rPr>
              <w:t xml:space="preserve">financial reasons. She is now in physical therapy through UNC’s charity care program. She said that there are some days she is unable to get out of bed due to the pain and only heat has helped reduce it. </w:t>
            </w:r>
            <w:r w:rsidR="008A33E6">
              <w:rPr>
                <w:bCs/>
                <w:sz w:val="18"/>
                <w:szCs w:val="18"/>
                <w:lang w:val="en-US" w:eastAsia="zh-CN"/>
              </w:rPr>
              <w:t xml:space="preserve">This patient has had MRI imaging done that showed mild spinal stenosis and therapeutic exercise paired with manual therapy has </w:t>
            </w:r>
            <w:r w:rsidR="0011024A">
              <w:rPr>
                <w:bCs/>
                <w:sz w:val="18"/>
                <w:szCs w:val="18"/>
                <w:lang w:val="en-US" w:eastAsia="zh-CN"/>
              </w:rPr>
              <w:t>not led to major changes in pain level reports</w:t>
            </w:r>
            <w:r w:rsidR="002E7836">
              <w:rPr>
                <w:bCs/>
                <w:sz w:val="18"/>
                <w:szCs w:val="18"/>
                <w:lang w:val="en-US" w:eastAsia="zh-CN"/>
              </w:rPr>
              <w:t>.</w:t>
            </w:r>
            <w:r w:rsidR="0011024A">
              <w:rPr>
                <w:bCs/>
                <w:sz w:val="18"/>
                <w:szCs w:val="18"/>
                <w:lang w:val="en-US" w:eastAsia="zh-CN"/>
              </w:rPr>
              <w:t xml:space="preserve"> </w:t>
            </w:r>
            <w:r w:rsidR="001310C7">
              <w:rPr>
                <w:bCs/>
                <w:sz w:val="18"/>
                <w:szCs w:val="18"/>
                <w:lang w:val="en-US" w:eastAsia="zh-CN"/>
              </w:rPr>
              <w:t xml:space="preserve">Part of the issue is that the patient is limited in the exercises she can do during session because of pain and will stop doing exercises at home immediately if she feels pain with the exercises. </w:t>
            </w:r>
            <w:r w:rsidR="008A33E6">
              <w:rPr>
                <w:bCs/>
                <w:sz w:val="18"/>
                <w:szCs w:val="18"/>
                <w:lang w:val="en-US" w:eastAsia="zh-CN"/>
              </w:rPr>
              <w:t xml:space="preserve">Due to </w:t>
            </w:r>
            <w:r w:rsidR="002E7836">
              <w:rPr>
                <w:bCs/>
                <w:sz w:val="18"/>
                <w:szCs w:val="18"/>
                <w:lang w:val="en-US" w:eastAsia="zh-CN"/>
              </w:rPr>
              <w:t xml:space="preserve">her fear avoidance due to </w:t>
            </w:r>
            <w:r w:rsidR="00C05512">
              <w:rPr>
                <w:bCs/>
                <w:sz w:val="18"/>
                <w:szCs w:val="18"/>
                <w:lang w:val="en-US" w:eastAsia="zh-CN"/>
              </w:rPr>
              <w:t xml:space="preserve">high levels of </w:t>
            </w:r>
            <w:r w:rsidR="002E7836">
              <w:rPr>
                <w:bCs/>
                <w:sz w:val="18"/>
                <w:szCs w:val="18"/>
                <w:lang w:val="en-US" w:eastAsia="zh-CN"/>
              </w:rPr>
              <w:t>pain and irritability displayed during treatment sessions, I want to know if pain neuroscience education would be a suitable adjunct to the current therapeutic exercise</w:t>
            </w:r>
            <w:r w:rsidR="00A85791">
              <w:rPr>
                <w:bCs/>
                <w:sz w:val="18"/>
                <w:szCs w:val="18"/>
                <w:lang w:val="en-US" w:eastAsia="zh-CN"/>
              </w:rPr>
              <w:t xml:space="preserve"> in her treatment plan. </w:t>
            </w:r>
          </w:p>
        </w:tc>
      </w:tr>
    </w:tbl>
    <w:p w14:paraId="421D1EA2" w14:textId="77777777" w:rsidR="00554FFC" w:rsidRDefault="00554FFC" w:rsidP="00A66A42">
      <w:pPr>
        <w:spacing w:before="120"/>
        <w:rPr>
          <w:b/>
          <w:sz w:val="18"/>
          <w:szCs w:val="18"/>
        </w:rPr>
      </w:pPr>
    </w:p>
    <w:p w14:paraId="722D0F74" w14:textId="77777777" w:rsidR="00A66A42" w:rsidRPr="00A66A42" w:rsidRDefault="00A66A42" w:rsidP="00A66A42">
      <w:pPr>
        <w:spacing w:before="120"/>
        <w:rPr>
          <w:b/>
          <w:sz w:val="18"/>
          <w:szCs w:val="18"/>
        </w:rPr>
      </w:pPr>
      <w:r w:rsidRPr="00A66A42">
        <w:rPr>
          <w:b/>
          <w:sz w:val="18"/>
          <w:szCs w:val="18"/>
        </w:rPr>
        <w:t>SUMMARY OF SEARCH</w:t>
      </w:r>
    </w:p>
    <w:p w14:paraId="45B6D6D7" w14:textId="77777777" w:rsidR="00A66A42" w:rsidRDefault="00A66A42" w:rsidP="00A66A42">
      <w:pPr>
        <w:spacing w:after="120"/>
        <w:rPr>
          <w:sz w:val="18"/>
          <w:szCs w:val="18"/>
        </w:rPr>
      </w:pPr>
      <w:r>
        <w:rPr>
          <w:sz w:val="18"/>
          <w:szCs w:val="18"/>
        </w:rPr>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A66A42" w:rsidRPr="002F16E1" w14:paraId="64C2A3D5" w14:textId="77777777" w:rsidTr="002F16E1">
        <w:tc>
          <w:tcPr>
            <w:tcW w:w="10421" w:type="dxa"/>
            <w:shd w:val="clear" w:color="auto" w:fill="auto"/>
          </w:tcPr>
          <w:p w14:paraId="125CE022" w14:textId="3D1AC480" w:rsidR="00A66A42" w:rsidRDefault="00C05512" w:rsidP="002F16E1">
            <w:pPr>
              <w:spacing w:before="120" w:after="120"/>
              <w:rPr>
                <w:sz w:val="18"/>
                <w:szCs w:val="18"/>
              </w:rPr>
            </w:pPr>
            <w:r>
              <w:rPr>
                <w:sz w:val="18"/>
                <w:szCs w:val="18"/>
              </w:rPr>
              <w:t xml:space="preserve">8 studies met the inclusion and exclusion criteria including 3 systematic reviews and 5 RCTs. One systematic review used its data to conduct a meta-analysis. </w:t>
            </w:r>
          </w:p>
          <w:p w14:paraId="3130D444" w14:textId="42D17B53" w:rsidR="00A66A42" w:rsidRDefault="00C05512" w:rsidP="003854B3">
            <w:pPr>
              <w:pStyle w:val="ListParagraph"/>
              <w:numPr>
                <w:ilvl w:val="0"/>
                <w:numId w:val="15"/>
              </w:numPr>
              <w:spacing w:before="120" w:after="120"/>
              <w:rPr>
                <w:sz w:val="18"/>
                <w:szCs w:val="18"/>
              </w:rPr>
            </w:pPr>
            <w:r w:rsidRPr="008E42ED">
              <w:rPr>
                <w:sz w:val="18"/>
                <w:szCs w:val="18"/>
              </w:rPr>
              <w:t xml:space="preserve">Pain neuroscience education can help </w:t>
            </w:r>
            <w:r w:rsidR="008E42ED">
              <w:rPr>
                <w:sz w:val="18"/>
                <w:szCs w:val="18"/>
              </w:rPr>
              <w:t>decrease</w:t>
            </w:r>
            <w:r w:rsidRPr="008E42ED">
              <w:rPr>
                <w:sz w:val="18"/>
                <w:szCs w:val="18"/>
              </w:rPr>
              <w:t xml:space="preserve"> a patient’s </w:t>
            </w:r>
            <w:r w:rsidR="00415C07" w:rsidRPr="008E42ED">
              <w:rPr>
                <w:sz w:val="18"/>
                <w:szCs w:val="18"/>
              </w:rPr>
              <w:t>pain levels, disability level,</w:t>
            </w:r>
            <w:r w:rsidR="008E42ED">
              <w:rPr>
                <w:sz w:val="18"/>
                <w:szCs w:val="18"/>
              </w:rPr>
              <w:t xml:space="preserve"> fear avoidance, and</w:t>
            </w:r>
            <w:r w:rsidR="0092495D">
              <w:rPr>
                <w:sz w:val="18"/>
                <w:szCs w:val="18"/>
              </w:rPr>
              <w:t xml:space="preserve"> change their perception of their pain.</w:t>
            </w:r>
            <w:r w:rsidR="004503EC">
              <w:rPr>
                <w:sz w:val="18"/>
                <w:szCs w:val="18"/>
                <w:vertAlign w:val="superscript"/>
              </w:rPr>
              <w:t>7,8</w:t>
            </w:r>
          </w:p>
          <w:p w14:paraId="53B47B6D" w14:textId="1265DDE9" w:rsidR="00DA4D09" w:rsidRDefault="00DA4D09" w:rsidP="003854B3">
            <w:pPr>
              <w:pStyle w:val="ListParagraph"/>
              <w:numPr>
                <w:ilvl w:val="0"/>
                <w:numId w:val="15"/>
              </w:numPr>
              <w:spacing w:before="120" w:after="120"/>
              <w:rPr>
                <w:sz w:val="18"/>
                <w:szCs w:val="18"/>
              </w:rPr>
            </w:pPr>
            <w:proofErr w:type="spellStart"/>
            <w:r>
              <w:rPr>
                <w:sz w:val="18"/>
                <w:szCs w:val="18"/>
              </w:rPr>
              <w:t>Kinesiophobia</w:t>
            </w:r>
            <w:proofErr w:type="spellEnd"/>
            <w:r>
              <w:rPr>
                <w:sz w:val="18"/>
                <w:szCs w:val="18"/>
              </w:rPr>
              <w:t xml:space="preserve"> (fear of movement) is a key predictor of chronic pain outcomes.</w:t>
            </w:r>
            <w:r w:rsidR="004503EC">
              <w:rPr>
                <w:sz w:val="18"/>
                <w:szCs w:val="18"/>
                <w:vertAlign w:val="superscript"/>
              </w:rPr>
              <w:t>7</w:t>
            </w:r>
          </w:p>
          <w:p w14:paraId="243717B6" w14:textId="598DCDFB" w:rsidR="0092495D" w:rsidRDefault="00580416" w:rsidP="003854B3">
            <w:pPr>
              <w:pStyle w:val="ListParagraph"/>
              <w:numPr>
                <w:ilvl w:val="0"/>
                <w:numId w:val="15"/>
              </w:numPr>
              <w:spacing w:before="120" w:after="120"/>
              <w:rPr>
                <w:sz w:val="18"/>
                <w:szCs w:val="18"/>
              </w:rPr>
            </w:pPr>
            <w:r>
              <w:rPr>
                <w:sz w:val="18"/>
                <w:szCs w:val="18"/>
              </w:rPr>
              <w:t>Pain neuroscience education is more effective when paired with another physical therapy treatment including therapeutic exercise, manual therapy, and dry needling.</w:t>
            </w:r>
            <w:r w:rsidR="004503EC">
              <w:rPr>
                <w:sz w:val="18"/>
                <w:szCs w:val="18"/>
                <w:vertAlign w:val="superscript"/>
              </w:rPr>
              <w:t>7,8</w:t>
            </w:r>
          </w:p>
          <w:p w14:paraId="34BA28F9" w14:textId="313BD835" w:rsidR="00A66A42" w:rsidRPr="00EF05F4" w:rsidRDefault="00580416" w:rsidP="002F16E1">
            <w:pPr>
              <w:pStyle w:val="ListParagraph"/>
              <w:numPr>
                <w:ilvl w:val="0"/>
                <w:numId w:val="15"/>
              </w:numPr>
              <w:spacing w:before="120" w:after="120"/>
              <w:rPr>
                <w:sz w:val="18"/>
                <w:szCs w:val="18"/>
              </w:rPr>
            </w:pPr>
            <w:r>
              <w:rPr>
                <w:sz w:val="18"/>
                <w:szCs w:val="18"/>
              </w:rPr>
              <w:t>Pain neuroscience education content and formatting can be individualized for the patient to fit their specific needs.</w:t>
            </w:r>
            <w:r w:rsidR="004503EC">
              <w:rPr>
                <w:sz w:val="18"/>
                <w:szCs w:val="18"/>
                <w:vertAlign w:val="superscript"/>
              </w:rPr>
              <w:t xml:space="preserve"> </w:t>
            </w:r>
            <w:r w:rsidR="004503EC">
              <w:rPr>
                <w:sz w:val="18"/>
                <w:szCs w:val="18"/>
                <w:vertAlign w:val="superscript"/>
              </w:rPr>
              <w:t>7,8</w:t>
            </w:r>
          </w:p>
        </w:tc>
      </w:tr>
    </w:tbl>
    <w:p w14:paraId="3555C733" w14:textId="77777777" w:rsidR="005850DE" w:rsidRDefault="005850DE" w:rsidP="00637684">
      <w:pPr>
        <w:spacing w:before="120" w:after="120"/>
        <w:rPr>
          <w:b/>
          <w:sz w:val="18"/>
          <w:szCs w:val="18"/>
        </w:rPr>
      </w:pPr>
    </w:p>
    <w:p w14:paraId="1A14183E" w14:textId="4CAA1E35" w:rsidR="00A66A42" w:rsidRPr="00637684" w:rsidRDefault="00637684" w:rsidP="00637684">
      <w:pPr>
        <w:spacing w:before="120" w:after="120"/>
        <w:rPr>
          <w:b/>
          <w:sz w:val="18"/>
          <w:szCs w:val="18"/>
        </w:rPr>
      </w:pPr>
      <w:r w:rsidRPr="00637684">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637684" w:rsidRPr="002F16E1" w14:paraId="1A91139A" w14:textId="77777777" w:rsidTr="002F16E1">
        <w:tc>
          <w:tcPr>
            <w:tcW w:w="10421" w:type="dxa"/>
            <w:shd w:val="clear" w:color="auto" w:fill="auto"/>
          </w:tcPr>
          <w:p w14:paraId="071A6493" w14:textId="37E2B925" w:rsidR="00637684" w:rsidRPr="002F16E1" w:rsidRDefault="00EF05F4" w:rsidP="002F16E1">
            <w:pPr>
              <w:spacing w:before="120" w:after="120"/>
              <w:rPr>
                <w:sz w:val="18"/>
                <w:szCs w:val="18"/>
              </w:rPr>
            </w:pPr>
            <w:r>
              <w:rPr>
                <w:sz w:val="18"/>
                <w:szCs w:val="18"/>
              </w:rPr>
              <w:t>Patient</w:t>
            </w:r>
            <w:r w:rsidR="00D701A6">
              <w:rPr>
                <w:sz w:val="18"/>
                <w:szCs w:val="18"/>
              </w:rPr>
              <w:t>s</w:t>
            </w:r>
            <w:r>
              <w:rPr>
                <w:sz w:val="18"/>
                <w:szCs w:val="18"/>
              </w:rPr>
              <w:t xml:space="preserve"> who display fear avoidant behaviours and</w:t>
            </w:r>
            <w:r w:rsidR="00D701A6">
              <w:rPr>
                <w:sz w:val="18"/>
                <w:szCs w:val="18"/>
              </w:rPr>
              <w:t xml:space="preserve"> identify pain as a barrier to exercise can benefit from pain neuroscience education paired with </w:t>
            </w:r>
            <w:r w:rsidR="00391499">
              <w:rPr>
                <w:sz w:val="18"/>
                <w:szCs w:val="18"/>
              </w:rPr>
              <w:t>physical therapy interventions. PNE can decrease fear avoidance and increase participation in therapeutic exercises, which w</w:t>
            </w:r>
            <w:r w:rsidR="005850DE">
              <w:rPr>
                <w:sz w:val="18"/>
                <w:szCs w:val="18"/>
              </w:rPr>
              <w:t>ill</w:t>
            </w:r>
            <w:r w:rsidR="00391499">
              <w:rPr>
                <w:sz w:val="18"/>
                <w:szCs w:val="18"/>
              </w:rPr>
              <w:t xml:space="preserve"> improve the patient’s functional ability</w:t>
            </w:r>
            <w:r w:rsidR="00F61716">
              <w:rPr>
                <w:sz w:val="18"/>
                <w:szCs w:val="18"/>
              </w:rPr>
              <w:t xml:space="preserve">. Since various formats of PNE have shown to be effective in decreasing disability, the specific format of the PNE can be catered to the patient’s needs. PNE should be paired with physical therapy treatments such as therapeutic exercise </w:t>
            </w:r>
            <w:r w:rsidR="005850DE">
              <w:rPr>
                <w:sz w:val="18"/>
                <w:szCs w:val="18"/>
              </w:rPr>
              <w:t xml:space="preserve">to have the greatest effect on pain levels. </w:t>
            </w:r>
          </w:p>
        </w:tc>
      </w:tr>
    </w:tbl>
    <w:p w14:paraId="4AA9B743" w14:textId="77777777" w:rsidR="00637684" w:rsidRPr="00554FFC" w:rsidRDefault="00637684" w:rsidP="005263ED">
      <w:pPr>
        <w:spacing w:before="120" w:after="1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195"/>
      </w:tblGrid>
      <w:tr w:rsidR="00637684" w:rsidRPr="002F16E1" w14:paraId="4DDD0AC5" w14:textId="77777777" w:rsidTr="002F16E1">
        <w:tc>
          <w:tcPr>
            <w:tcW w:w="10421" w:type="dxa"/>
            <w:shd w:val="clear" w:color="auto" w:fill="E6E6E6"/>
          </w:tcPr>
          <w:p w14:paraId="6BE867A5" w14:textId="77777777" w:rsidR="00637684" w:rsidRPr="002F16E1" w:rsidRDefault="00637684" w:rsidP="00554FFC">
            <w:pPr>
              <w:spacing w:before="120" w:after="120"/>
              <w:jc w:val="center"/>
              <w:rPr>
                <w:rFonts w:ascii="Arial" w:hAnsi="Arial"/>
                <w:b/>
                <w:i/>
              </w:rPr>
            </w:pPr>
            <w:r w:rsidRPr="002F16E1">
              <w:rPr>
                <w:rFonts w:ascii="Arial" w:hAnsi="Arial"/>
                <w:b/>
                <w:i/>
              </w:rPr>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14:paraId="0BAF4E49" w14:textId="77777777" w:rsidR="00554FFC" w:rsidRDefault="00554FFC" w:rsidP="00554FFC">
      <w:pPr>
        <w:spacing w:before="120" w:after="120"/>
        <w:rPr>
          <w:b/>
          <w:sz w:val="18"/>
          <w:szCs w:val="18"/>
        </w:rPr>
      </w:pPr>
      <w:r>
        <w:rPr>
          <w:b/>
          <w:sz w:val="18"/>
          <w:szCs w:val="18"/>
        </w:rPr>
        <w:br w:type="page"/>
      </w:r>
      <w:r w:rsidRPr="002975D0">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2843"/>
        <w:gridCol w:w="2336"/>
        <w:gridCol w:w="2540"/>
      </w:tblGrid>
      <w:tr w:rsidR="00554FFC" w:rsidRPr="002F16E1" w14:paraId="4115B339" w14:textId="77777777" w:rsidTr="009E380F">
        <w:tc>
          <w:tcPr>
            <w:tcW w:w="10908" w:type="dxa"/>
            <w:gridSpan w:val="4"/>
            <w:shd w:val="clear" w:color="auto" w:fill="E6E6E6"/>
          </w:tcPr>
          <w:p w14:paraId="5F5AFFD7" w14:textId="77777777" w:rsidR="00554FFC" w:rsidRPr="002F16E1" w:rsidRDefault="00554FFC" w:rsidP="009E380F">
            <w:pPr>
              <w:spacing w:before="120" w:after="120"/>
              <w:rPr>
                <w:b/>
                <w:sz w:val="18"/>
                <w:szCs w:val="18"/>
              </w:rPr>
            </w:pPr>
            <w:r w:rsidRPr="002F16E1">
              <w:rPr>
                <w:b/>
                <w:sz w:val="18"/>
                <w:szCs w:val="18"/>
              </w:rPr>
              <w:t>Terms used to guide the search strategy</w:t>
            </w:r>
          </w:p>
        </w:tc>
      </w:tr>
      <w:tr w:rsidR="00554FFC" w:rsidRPr="002F16E1" w14:paraId="592F01FA" w14:textId="77777777" w:rsidTr="009E380F">
        <w:tc>
          <w:tcPr>
            <w:tcW w:w="2628" w:type="dxa"/>
            <w:tcBorders>
              <w:right w:val="single" w:sz="8" w:space="0" w:color="auto"/>
            </w:tcBorders>
            <w:shd w:val="clear" w:color="auto" w:fill="auto"/>
          </w:tcPr>
          <w:p w14:paraId="78895C8F" w14:textId="77777777" w:rsidR="00554FFC" w:rsidRPr="002F16E1" w:rsidRDefault="00554FFC" w:rsidP="009E380F">
            <w:pPr>
              <w:spacing w:before="120" w:after="120"/>
              <w:rPr>
                <w:rFonts w:ascii="Arial" w:hAnsi="Arial"/>
              </w:rPr>
            </w:pPr>
            <w:r w:rsidRPr="002F16E1">
              <w:rPr>
                <w:b/>
                <w:sz w:val="18"/>
                <w:szCs w:val="18"/>
                <w:u w:val="single"/>
              </w:rPr>
              <w:t>P</w:t>
            </w:r>
            <w:r w:rsidRPr="002F16E1">
              <w:rPr>
                <w:sz w:val="18"/>
                <w:szCs w:val="18"/>
              </w:rPr>
              <w:t>atient/Client Group</w:t>
            </w:r>
          </w:p>
        </w:tc>
        <w:tc>
          <w:tcPr>
            <w:tcW w:w="3060" w:type="dxa"/>
            <w:tcBorders>
              <w:left w:val="single" w:sz="8" w:space="0" w:color="auto"/>
            </w:tcBorders>
            <w:shd w:val="clear" w:color="auto" w:fill="auto"/>
          </w:tcPr>
          <w:p w14:paraId="48B0C565" w14:textId="77777777" w:rsidR="00554FFC" w:rsidRPr="002F16E1" w:rsidRDefault="00554FFC" w:rsidP="009E380F">
            <w:pPr>
              <w:spacing w:before="120" w:after="120"/>
              <w:rPr>
                <w:rFonts w:ascii="Arial" w:hAnsi="Arial"/>
              </w:rPr>
            </w:pPr>
            <w:r w:rsidRPr="002F16E1">
              <w:rPr>
                <w:b/>
                <w:sz w:val="18"/>
                <w:szCs w:val="18"/>
                <w:u w:val="single"/>
              </w:rPr>
              <w:t>I</w:t>
            </w:r>
            <w:r w:rsidRPr="002F16E1">
              <w:rPr>
                <w:sz w:val="18"/>
                <w:szCs w:val="18"/>
              </w:rPr>
              <w:t>ntervention (or A</w:t>
            </w:r>
            <w:r>
              <w:rPr>
                <w:sz w:val="18"/>
                <w:szCs w:val="18"/>
              </w:rPr>
              <w:t>ssessment)</w:t>
            </w:r>
          </w:p>
        </w:tc>
        <w:tc>
          <w:tcPr>
            <w:tcW w:w="2493" w:type="dxa"/>
            <w:tcBorders>
              <w:left w:val="single" w:sz="8" w:space="0" w:color="auto"/>
            </w:tcBorders>
            <w:shd w:val="clear" w:color="auto" w:fill="auto"/>
          </w:tcPr>
          <w:p w14:paraId="40919FD0" w14:textId="77777777" w:rsidR="00554FFC" w:rsidRPr="002F16E1" w:rsidRDefault="00554FFC" w:rsidP="009E380F">
            <w:pPr>
              <w:spacing w:before="120" w:after="120"/>
              <w:rPr>
                <w:rFonts w:ascii="Arial" w:hAnsi="Arial"/>
              </w:rPr>
            </w:pPr>
            <w:r w:rsidRPr="002F16E1">
              <w:rPr>
                <w:b/>
                <w:sz w:val="18"/>
                <w:szCs w:val="18"/>
                <w:u w:val="single"/>
              </w:rPr>
              <w:t>C</w:t>
            </w:r>
            <w:r>
              <w:rPr>
                <w:sz w:val="18"/>
                <w:szCs w:val="18"/>
              </w:rPr>
              <w:t>omparison</w:t>
            </w:r>
          </w:p>
        </w:tc>
        <w:tc>
          <w:tcPr>
            <w:tcW w:w="2727" w:type="dxa"/>
            <w:tcBorders>
              <w:left w:val="single" w:sz="8" w:space="0" w:color="auto"/>
            </w:tcBorders>
            <w:shd w:val="clear" w:color="auto" w:fill="auto"/>
          </w:tcPr>
          <w:p w14:paraId="2DACCC86" w14:textId="77777777" w:rsidR="00554FFC" w:rsidRPr="002F16E1" w:rsidRDefault="00554FFC" w:rsidP="009E380F">
            <w:pPr>
              <w:spacing w:before="120" w:after="120"/>
              <w:rPr>
                <w:rFonts w:ascii="Arial" w:hAnsi="Arial"/>
              </w:rPr>
            </w:pPr>
            <w:r w:rsidRPr="002F16E1">
              <w:rPr>
                <w:b/>
                <w:sz w:val="18"/>
                <w:szCs w:val="18"/>
                <w:u w:val="single"/>
              </w:rPr>
              <w:t>O</w:t>
            </w:r>
            <w:r w:rsidRPr="002F16E1">
              <w:rPr>
                <w:sz w:val="18"/>
                <w:szCs w:val="18"/>
              </w:rPr>
              <w:t>utcome(s)</w:t>
            </w:r>
          </w:p>
        </w:tc>
      </w:tr>
      <w:tr w:rsidR="00554FFC" w:rsidRPr="002F16E1" w14:paraId="15C7DC90" w14:textId="77777777" w:rsidTr="009E380F">
        <w:tc>
          <w:tcPr>
            <w:tcW w:w="2628" w:type="dxa"/>
            <w:tcBorders>
              <w:right w:val="single" w:sz="8" w:space="0" w:color="auto"/>
            </w:tcBorders>
            <w:shd w:val="clear" w:color="auto" w:fill="auto"/>
          </w:tcPr>
          <w:p w14:paraId="25CA2EC7" w14:textId="77777777" w:rsidR="00554FFC" w:rsidRDefault="006B102C" w:rsidP="009E380F">
            <w:pPr>
              <w:spacing w:before="120" w:after="120"/>
              <w:rPr>
                <w:rFonts w:ascii="Arial" w:hAnsi="Arial"/>
              </w:rPr>
            </w:pPr>
            <w:r>
              <w:rPr>
                <w:rFonts w:ascii="Arial" w:hAnsi="Arial"/>
              </w:rPr>
              <w:t>low back pain</w:t>
            </w:r>
          </w:p>
          <w:p w14:paraId="785FD61C" w14:textId="77777777" w:rsidR="006B102C" w:rsidRDefault="006B102C" w:rsidP="009E380F">
            <w:pPr>
              <w:spacing w:before="120" w:after="120"/>
              <w:rPr>
                <w:rFonts w:ascii="Arial" w:hAnsi="Arial"/>
              </w:rPr>
            </w:pPr>
            <w:r>
              <w:rPr>
                <w:rFonts w:ascii="Arial" w:hAnsi="Arial"/>
              </w:rPr>
              <w:t>&gt;65 years of age</w:t>
            </w:r>
          </w:p>
          <w:p w14:paraId="7B6BB0BA" w14:textId="28134621" w:rsidR="006B102C" w:rsidRPr="002F16E1" w:rsidRDefault="006B102C" w:rsidP="009E380F">
            <w:pPr>
              <w:spacing w:before="120" w:after="120"/>
              <w:rPr>
                <w:rFonts w:ascii="Arial" w:hAnsi="Arial"/>
              </w:rPr>
            </w:pPr>
            <w:r>
              <w:rPr>
                <w:rFonts w:ascii="Arial" w:hAnsi="Arial"/>
              </w:rPr>
              <w:t>chronic pain</w:t>
            </w:r>
          </w:p>
        </w:tc>
        <w:tc>
          <w:tcPr>
            <w:tcW w:w="3060" w:type="dxa"/>
            <w:tcBorders>
              <w:left w:val="single" w:sz="8" w:space="0" w:color="auto"/>
            </w:tcBorders>
            <w:shd w:val="clear" w:color="auto" w:fill="auto"/>
          </w:tcPr>
          <w:p w14:paraId="79CCAD92" w14:textId="77777777" w:rsidR="00554FFC" w:rsidRDefault="00486767" w:rsidP="009E380F">
            <w:pPr>
              <w:spacing w:before="120" w:after="120"/>
              <w:rPr>
                <w:rFonts w:ascii="Arial" w:hAnsi="Arial"/>
              </w:rPr>
            </w:pPr>
            <w:r>
              <w:rPr>
                <w:rFonts w:ascii="Arial" w:hAnsi="Arial"/>
              </w:rPr>
              <w:t xml:space="preserve">pain neuroscience education </w:t>
            </w:r>
          </w:p>
          <w:p w14:paraId="6D67D8C3" w14:textId="325E831E" w:rsidR="006B102C" w:rsidRPr="002F16E1" w:rsidRDefault="006B102C" w:rsidP="009E380F">
            <w:pPr>
              <w:spacing w:before="120" w:after="120"/>
              <w:rPr>
                <w:rFonts w:ascii="Arial" w:hAnsi="Arial"/>
              </w:rPr>
            </w:pPr>
            <w:r>
              <w:rPr>
                <w:rFonts w:ascii="Arial" w:hAnsi="Arial"/>
              </w:rPr>
              <w:t>therapeutic neuroscience education</w:t>
            </w:r>
          </w:p>
        </w:tc>
        <w:tc>
          <w:tcPr>
            <w:tcW w:w="2493" w:type="dxa"/>
            <w:tcBorders>
              <w:left w:val="single" w:sz="8" w:space="0" w:color="auto"/>
            </w:tcBorders>
            <w:shd w:val="clear" w:color="auto" w:fill="auto"/>
          </w:tcPr>
          <w:p w14:paraId="43F3A128" w14:textId="7BF5F4FB" w:rsidR="00554FFC" w:rsidRPr="002F16E1" w:rsidRDefault="006B102C" w:rsidP="009E380F">
            <w:pPr>
              <w:spacing w:before="120" w:after="120"/>
              <w:rPr>
                <w:rFonts w:ascii="Arial" w:hAnsi="Arial"/>
              </w:rPr>
            </w:pPr>
            <w:r>
              <w:rPr>
                <w:rFonts w:ascii="Arial" w:hAnsi="Arial"/>
              </w:rPr>
              <w:t>t</w:t>
            </w:r>
            <w:r w:rsidR="00486767">
              <w:rPr>
                <w:rFonts w:ascii="Arial" w:hAnsi="Arial"/>
              </w:rPr>
              <w:t>herapeutic exercise</w:t>
            </w:r>
          </w:p>
        </w:tc>
        <w:tc>
          <w:tcPr>
            <w:tcW w:w="2727" w:type="dxa"/>
            <w:tcBorders>
              <w:left w:val="single" w:sz="8" w:space="0" w:color="auto"/>
            </w:tcBorders>
            <w:shd w:val="clear" w:color="auto" w:fill="auto"/>
          </w:tcPr>
          <w:p w14:paraId="747A6028" w14:textId="6E823649" w:rsidR="00554FFC" w:rsidRPr="002F16E1" w:rsidRDefault="00486767" w:rsidP="009E380F">
            <w:pPr>
              <w:spacing w:before="120" w:after="120"/>
              <w:rPr>
                <w:rFonts w:ascii="Arial" w:hAnsi="Arial"/>
              </w:rPr>
            </w:pPr>
            <w:r w:rsidRPr="00890872">
              <w:rPr>
                <w:rFonts w:ascii="Arial" w:hAnsi="Arial"/>
              </w:rPr>
              <w:t>functional outcome measure scores</w:t>
            </w:r>
          </w:p>
        </w:tc>
      </w:tr>
    </w:tbl>
    <w:p w14:paraId="2F6547DF" w14:textId="77777777" w:rsidR="00554FFC" w:rsidRDefault="00554FFC" w:rsidP="00554FFC"/>
    <w:p w14:paraId="5B82FB65" w14:textId="77777777" w:rsidR="00554FFC" w:rsidRDefault="00554FFC" w:rsidP="00554FFC">
      <w:pPr>
        <w:spacing w:before="120" w:after="120"/>
        <w:rPr>
          <w:b/>
          <w:sz w:val="18"/>
          <w:szCs w:val="18"/>
        </w:rPr>
      </w:pPr>
      <w:r>
        <w:rPr>
          <w:b/>
          <w:sz w:val="18"/>
          <w:szCs w:val="18"/>
        </w:rPr>
        <w:t>Final search strategy</w:t>
      </w:r>
      <w:r w:rsidR="00D76272">
        <w:rPr>
          <w:b/>
          <w:sz w:val="18"/>
          <w:szCs w:val="18"/>
        </w:rPr>
        <w:t xml:space="preserve"> (history)</w:t>
      </w:r>
      <w:r>
        <w:rPr>
          <w:b/>
          <w:sz w:val="18"/>
          <w:szCs w:val="18"/>
        </w:rPr>
        <w:t>:</w:t>
      </w:r>
    </w:p>
    <w:p w14:paraId="4AF3332C" w14:textId="77777777" w:rsidR="00554FFC" w:rsidRPr="00526612" w:rsidRDefault="00554FFC" w:rsidP="00554FFC">
      <w:pPr>
        <w:rPr>
          <w:i/>
        </w:rPr>
      </w:pPr>
      <w:r w:rsidRPr="00554FFC">
        <w:rPr>
          <w:i/>
          <w:color w:val="365F91"/>
        </w:rPr>
        <w:t xml:space="preserve">Show your final search strategy </w:t>
      </w:r>
      <w:r w:rsidR="00D76272">
        <w:rPr>
          <w:i/>
          <w:color w:val="365F91"/>
        </w:rPr>
        <w:t xml:space="preserve">(full history) </w:t>
      </w:r>
      <w:r w:rsidRPr="00554FFC">
        <w:rPr>
          <w:i/>
          <w:color w:val="365F91"/>
        </w:rPr>
        <w:t xml:space="preserve">from </w:t>
      </w:r>
      <w:r w:rsidR="00D76272">
        <w:rPr>
          <w:i/>
          <w:color w:val="365F91"/>
        </w:rPr>
        <w:t>PubMed</w:t>
      </w:r>
      <w:r w:rsidRPr="00554FFC">
        <w:rPr>
          <w:i/>
          <w:color w:val="365F91"/>
        </w:rPr>
        <w:t xml:space="preserve">. </w:t>
      </w:r>
      <w:r w:rsidR="000E27FF">
        <w:rPr>
          <w:i/>
          <w:color w:val="365F91"/>
        </w:rPr>
        <w:t>Indicate which “line” you chose as the final search strategy.</w:t>
      </w:r>
    </w:p>
    <w:p w14:paraId="1C514842" w14:textId="77777777" w:rsidR="00486767" w:rsidRDefault="00486767" w:rsidP="00486767">
      <w:pPr>
        <w:spacing w:before="120" w:after="120"/>
      </w:pPr>
      <w:r>
        <w:t xml:space="preserve">low back pain AND (pain neuroscience education OR therapeutic neuroscience education) AND therapeutic exercise AND </w:t>
      </w:r>
      <w:proofErr w:type="spellStart"/>
      <w:r>
        <w:t>Oswestry</w:t>
      </w:r>
      <w:proofErr w:type="spellEnd"/>
    </w:p>
    <w:p w14:paraId="754DC31F" w14:textId="77777777" w:rsidR="00486767" w:rsidRDefault="00486767" w:rsidP="00486767">
      <w:pPr>
        <w:spacing w:before="120" w:after="120"/>
        <w:rPr>
          <w:sz w:val="18"/>
          <w:szCs w:val="18"/>
        </w:rPr>
      </w:pPr>
      <w:r>
        <w:t xml:space="preserve">low back pain AND (pain neuroscience education OR therapeutic neuroscience education) AND </w:t>
      </w:r>
      <w:proofErr w:type="spellStart"/>
      <w:r>
        <w:t>Oswestry</w:t>
      </w:r>
      <w:proofErr w:type="spellEnd"/>
    </w:p>
    <w:p w14:paraId="586F4A03" w14:textId="0D3EC7AC" w:rsidR="00554FFC" w:rsidRPr="00486767" w:rsidRDefault="00486767" w:rsidP="00554FFC">
      <w:pPr>
        <w:spacing w:before="120" w:after="120"/>
        <w:rPr>
          <w:b/>
          <w:bCs/>
        </w:rPr>
      </w:pPr>
      <w:r w:rsidRPr="00310EF7">
        <w:rPr>
          <w:b/>
          <w:bCs/>
        </w:rPr>
        <w:t>chronic back pain AND (pain neuroscience education OR therapeutic neuroscience education) AND physical therapy</w:t>
      </w:r>
    </w:p>
    <w:p w14:paraId="4077403D" w14:textId="77777777" w:rsidR="00554FFC" w:rsidRDefault="00554FFC" w:rsidP="00554FFC">
      <w:pPr>
        <w:spacing w:before="120" w:after="120"/>
        <w:rPr>
          <w:sz w:val="18"/>
          <w:szCs w:val="18"/>
        </w:rPr>
      </w:pPr>
    </w:p>
    <w:p w14:paraId="39E83442" w14:textId="77777777" w:rsidR="00554FFC" w:rsidRDefault="00D76272" w:rsidP="00554FFC">
      <w:pPr>
        <w:spacing w:before="120" w:after="120"/>
        <w:rPr>
          <w:sz w:val="18"/>
          <w:szCs w:val="18"/>
        </w:rPr>
      </w:pPr>
      <w:r w:rsidRPr="00554FFC">
        <w:rPr>
          <w:i/>
          <w:color w:val="365F91"/>
        </w:rPr>
        <w:t>In the table below, show how many results you got from your search from each database you searched.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1804"/>
        <w:gridCol w:w="3705"/>
      </w:tblGrid>
      <w:tr w:rsidR="00554FFC" w:rsidRPr="002F16E1" w14:paraId="3A338EBB" w14:textId="77777777" w:rsidTr="00486767">
        <w:tc>
          <w:tcPr>
            <w:tcW w:w="4804" w:type="dxa"/>
            <w:shd w:val="clear" w:color="auto" w:fill="E6E6E6"/>
          </w:tcPr>
          <w:p w14:paraId="1C29A87D" w14:textId="77777777" w:rsidR="00554FFC" w:rsidRPr="002F16E1" w:rsidRDefault="00554FFC" w:rsidP="009E380F">
            <w:pPr>
              <w:spacing w:before="120" w:after="120"/>
              <w:jc w:val="center"/>
              <w:rPr>
                <w:b/>
                <w:sz w:val="18"/>
                <w:szCs w:val="18"/>
              </w:rPr>
            </w:pPr>
            <w:r w:rsidRPr="002F16E1">
              <w:rPr>
                <w:b/>
                <w:sz w:val="18"/>
                <w:szCs w:val="18"/>
              </w:rPr>
              <w:t>Databases and Sites Searched</w:t>
            </w:r>
          </w:p>
        </w:tc>
        <w:tc>
          <w:tcPr>
            <w:tcW w:w="1831" w:type="dxa"/>
            <w:shd w:val="clear" w:color="auto" w:fill="E6E6E6"/>
          </w:tcPr>
          <w:p w14:paraId="05317517" w14:textId="77777777" w:rsidR="00554FFC" w:rsidRPr="002F16E1" w:rsidRDefault="00554FFC" w:rsidP="009E380F">
            <w:pPr>
              <w:spacing w:before="120" w:after="120"/>
              <w:jc w:val="center"/>
              <w:rPr>
                <w:b/>
                <w:sz w:val="18"/>
                <w:szCs w:val="18"/>
              </w:rPr>
            </w:pPr>
            <w:r>
              <w:rPr>
                <w:b/>
                <w:sz w:val="18"/>
                <w:szCs w:val="18"/>
              </w:rPr>
              <w:t>Number of results</w:t>
            </w:r>
          </w:p>
        </w:tc>
        <w:tc>
          <w:tcPr>
            <w:tcW w:w="3786" w:type="dxa"/>
            <w:shd w:val="clear" w:color="auto" w:fill="E6E6E6"/>
          </w:tcPr>
          <w:p w14:paraId="5565B73D" w14:textId="77777777" w:rsidR="00554FFC" w:rsidRPr="002F16E1" w:rsidRDefault="00554FFC" w:rsidP="009E380F">
            <w:pPr>
              <w:spacing w:before="120" w:after="120"/>
              <w:rPr>
                <w:b/>
                <w:sz w:val="18"/>
                <w:szCs w:val="18"/>
              </w:rPr>
            </w:pPr>
            <w:r>
              <w:rPr>
                <w:b/>
                <w:sz w:val="18"/>
                <w:szCs w:val="18"/>
              </w:rPr>
              <w:t>Limits applied, revised number of results (if applicable)</w:t>
            </w:r>
          </w:p>
        </w:tc>
      </w:tr>
      <w:tr w:rsidR="00486767" w:rsidRPr="002F16E1" w14:paraId="34529366" w14:textId="77777777" w:rsidTr="00486767">
        <w:tc>
          <w:tcPr>
            <w:tcW w:w="4804" w:type="dxa"/>
            <w:shd w:val="clear" w:color="auto" w:fill="auto"/>
          </w:tcPr>
          <w:p w14:paraId="206412FE" w14:textId="77777777" w:rsidR="00486767" w:rsidRPr="002F16E1" w:rsidRDefault="00486767" w:rsidP="00486767">
            <w:pPr>
              <w:spacing w:before="120" w:after="120"/>
              <w:rPr>
                <w:b/>
                <w:sz w:val="18"/>
                <w:szCs w:val="18"/>
              </w:rPr>
            </w:pPr>
            <w:proofErr w:type="spellStart"/>
            <w:r>
              <w:rPr>
                <w:b/>
                <w:sz w:val="18"/>
                <w:szCs w:val="18"/>
              </w:rPr>
              <w:t>Pubmed</w:t>
            </w:r>
            <w:proofErr w:type="spellEnd"/>
          </w:p>
          <w:p w14:paraId="3A395073" w14:textId="77777777" w:rsidR="00486767" w:rsidRDefault="00486767" w:rsidP="00486767">
            <w:pPr>
              <w:spacing w:before="120" w:after="120"/>
              <w:rPr>
                <w:b/>
                <w:sz w:val="18"/>
                <w:szCs w:val="18"/>
              </w:rPr>
            </w:pPr>
            <w:r>
              <w:rPr>
                <w:b/>
                <w:sz w:val="18"/>
                <w:szCs w:val="18"/>
              </w:rPr>
              <w:t>Cochrane Library</w:t>
            </w:r>
          </w:p>
          <w:p w14:paraId="0A41FE1C" w14:textId="1E42A58F" w:rsidR="00486767" w:rsidRPr="002F16E1" w:rsidRDefault="00486767" w:rsidP="00486767">
            <w:pPr>
              <w:spacing w:before="120" w:after="120"/>
              <w:rPr>
                <w:b/>
                <w:sz w:val="18"/>
                <w:szCs w:val="18"/>
              </w:rPr>
            </w:pPr>
            <w:r>
              <w:rPr>
                <w:b/>
                <w:sz w:val="18"/>
                <w:szCs w:val="18"/>
              </w:rPr>
              <w:t>CINAHL</w:t>
            </w:r>
          </w:p>
        </w:tc>
        <w:tc>
          <w:tcPr>
            <w:tcW w:w="1831" w:type="dxa"/>
            <w:shd w:val="clear" w:color="auto" w:fill="auto"/>
          </w:tcPr>
          <w:p w14:paraId="1F603CB1" w14:textId="77777777" w:rsidR="00486767" w:rsidRPr="00561AB8" w:rsidRDefault="00486767" w:rsidP="00486767">
            <w:pPr>
              <w:spacing w:before="120" w:after="120"/>
              <w:rPr>
                <w:bCs/>
                <w:sz w:val="18"/>
                <w:szCs w:val="18"/>
              </w:rPr>
            </w:pPr>
            <w:r w:rsidRPr="00561AB8">
              <w:rPr>
                <w:bCs/>
                <w:sz w:val="18"/>
                <w:szCs w:val="18"/>
              </w:rPr>
              <w:t>78</w:t>
            </w:r>
            <w:r>
              <w:rPr>
                <w:bCs/>
                <w:sz w:val="18"/>
                <w:szCs w:val="18"/>
              </w:rPr>
              <w:t>-&gt;31</w:t>
            </w:r>
          </w:p>
          <w:p w14:paraId="4A0507A6" w14:textId="77777777" w:rsidR="00486767" w:rsidRPr="00561AB8" w:rsidRDefault="00486767" w:rsidP="00486767">
            <w:pPr>
              <w:spacing w:before="120" w:after="120"/>
              <w:rPr>
                <w:bCs/>
                <w:sz w:val="18"/>
                <w:szCs w:val="18"/>
              </w:rPr>
            </w:pPr>
            <w:r w:rsidRPr="00561AB8">
              <w:rPr>
                <w:bCs/>
                <w:sz w:val="18"/>
                <w:szCs w:val="18"/>
              </w:rPr>
              <w:t>22</w:t>
            </w:r>
          </w:p>
          <w:p w14:paraId="20BE2EF2" w14:textId="3E0351BB" w:rsidR="00486767" w:rsidRPr="002F16E1" w:rsidRDefault="00486767" w:rsidP="00486767">
            <w:pPr>
              <w:spacing w:before="120" w:after="120"/>
              <w:rPr>
                <w:b/>
                <w:sz w:val="18"/>
                <w:szCs w:val="18"/>
              </w:rPr>
            </w:pPr>
            <w:r w:rsidRPr="00561AB8">
              <w:rPr>
                <w:bCs/>
                <w:sz w:val="18"/>
                <w:szCs w:val="18"/>
              </w:rPr>
              <w:t>8</w:t>
            </w:r>
          </w:p>
        </w:tc>
        <w:tc>
          <w:tcPr>
            <w:tcW w:w="3786" w:type="dxa"/>
            <w:shd w:val="clear" w:color="auto" w:fill="auto"/>
          </w:tcPr>
          <w:p w14:paraId="3B1BCB49" w14:textId="20635864" w:rsidR="00486767" w:rsidRPr="002F16E1" w:rsidRDefault="00486767" w:rsidP="00486767">
            <w:pPr>
              <w:spacing w:before="120" w:after="120"/>
              <w:rPr>
                <w:b/>
                <w:sz w:val="18"/>
                <w:szCs w:val="18"/>
              </w:rPr>
            </w:pPr>
            <w:r>
              <w:rPr>
                <w:b/>
                <w:sz w:val="18"/>
                <w:szCs w:val="18"/>
              </w:rPr>
              <w:t>Systematic reviews and RCT only within the last 10 years, 31 results</w:t>
            </w:r>
          </w:p>
        </w:tc>
      </w:tr>
    </w:tbl>
    <w:p w14:paraId="5EED8EC3" w14:textId="77777777" w:rsidR="00554FFC" w:rsidRDefault="00554FFC" w:rsidP="00554FFC">
      <w:pPr>
        <w:spacing w:before="120" w:after="120"/>
        <w:rPr>
          <w:b/>
          <w:sz w:val="18"/>
          <w:szCs w:val="18"/>
        </w:rPr>
      </w:pPr>
    </w:p>
    <w:p w14:paraId="5A8ABF75" w14:textId="77777777" w:rsidR="00554FFC" w:rsidRDefault="00554FFC" w:rsidP="00554FFC">
      <w:pPr>
        <w:pStyle w:val="Heading2"/>
        <w:spacing w:before="120" w:after="120" w:line="240" w:lineRule="auto"/>
        <w:rPr>
          <w:rFonts w:ascii="Verdana" w:hAnsi="Verdana"/>
          <w:sz w:val="18"/>
          <w:szCs w:val="18"/>
        </w:rPr>
      </w:pPr>
      <w:r w:rsidRPr="00B75AAB">
        <w:rPr>
          <w:rFonts w:ascii="Verdana" w:hAnsi="Verdana"/>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54FFC" w:rsidRPr="002F16E1" w14:paraId="7EAB3240" w14:textId="77777777" w:rsidTr="009E380F">
        <w:tc>
          <w:tcPr>
            <w:tcW w:w="10421" w:type="dxa"/>
            <w:shd w:val="clear" w:color="auto" w:fill="E6E6E6"/>
          </w:tcPr>
          <w:p w14:paraId="17DFC592" w14:textId="77777777" w:rsidR="00554FFC" w:rsidRPr="002F16E1" w:rsidRDefault="00554FFC" w:rsidP="009E380F">
            <w:pPr>
              <w:spacing w:before="120" w:after="120"/>
              <w:rPr>
                <w:b/>
              </w:rPr>
            </w:pPr>
            <w:r w:rsidRPr="002F16E1">
              <w:rPr>
                <w:b/>
              </w:rPr>
              <w:t>Inclusion Criteria</w:t>
            </w:r>
          </w:p>
        </w:tc>
      </w:tr>
      <w:tr w:rsidR="00554FFC" w14:paraId="538F7291" w14:textId="77777777" w:rsidTr="009E380F">
        <w:tc>
          <w:tcPr>
            <w:tcW w:w="10421" w:type="dxa"/>
            <w:tcBorders>
              <w:bottom w:val="single" w:sz="4" w:space="0" w:color="auto"/>
            </w:tcBorders>
            <w:shd w:val="clear" w:color="auto" w:fill="auto"/>
          </w:tcPr>
          <w:p w14:paraId="378BC26B" w14:textId="6C689740" w:rsidR="006B102C" w:rsidRDefault="006B102C" w:rsidP="006B102C">
            <w:pPr>
              <w:spacing w:before="120" w:after="120"/>
            </w:pPr>
            <w:r>
              <w:t>-In treatment for chronic low back pain</w:t>
            </w:r>
          </w:p>
          <w:p w14:paraId="07AE6674" w14:textId="4A458A19" w:rsidR="006B102C" w:rsidRDefault="006B102C" w:rsidP="006B102C">
            <w:pPr>
              <w:spacing w:before="120" w:after="120"/>
            </w:pPr>
            <w:r>
              <w:t>-Pain neuroscience education used as intervention</w:t>
            </w:r>
          </w:p>
          <w:p w14:paraId="5EED602C" w14:textId="51B97B8F" w:rsidR="00554FFC" w:rsidRDefault="006B102C" w:rsidP="009E380F">
            <w:pPr>
              <w:spacing w:before="120" w:after="120"/>
            </w:pPr>
            <w:r>
              <w:t>-Peer reviewed</w:t>
            </w:r>
          </w:p>
        </w:tc>
      </w:tr>
      <w:tr w:rsidR="00554FFC" w:rsidRPr="002F16E1" w14:paraId="2A6454C3" w14:textId="77777777" w:rsidTr="009E380F">
        <w:tc>
          <w:tcPr>
            <w:tcW w:w="10421" w:type="dxa"/>
            <w:shd w:val="clear" w:color="auto" w:fill="E6E6E6"/>
          </w:tcPr>
          <w:p w14:paraId="412B04CF" w14:textId="77777777" w:rsidR="00554FFC" w:rsidRPr="002F16E1" w:rsidRDefault="00554FFC" w:rsidP="009E380F">
            <w:pPr>
              <w:spacing w:before="120" w:after="120"/>
              <w:rPr>
                <w:b/>
              </w:rPr>
            </w:pPr>
            <w:r w:rsidRPr="002F16E1">
              <w:rPr>
                <w:b/>
              </w:rPr>
              <w:t>Exclusion Criteria</w:t>
            </w:r>
          </w:p>
        </w:tc>
      </w:tr>
      <w:tr w:rsidR="00554FFC" w14:paraId="27339C76" w14:textId="77777777" w:rsidTr="009E380F">
        <w:tc>
          <w:tcPr>
            <w:tcW w:w="10421" w:type="dxa"/>
            <w:shd w:val="clear" w:color="auto" w:fill="auto"/>
          </w:tcPr>
          <w:p w14:paraId="1A5F50E9" w14:textId="0E81A1BD" w:rsidR="006B102C" w:rsidRDefault="006B102C" w:rsidP="006B102C">
            <w:pPr>
              <w:spacing w:before="120" w:after="120"/>
            </w:pPr>
            <w:r>
              <w:t>-Published prior to 2000</w:t>
            </w:r>
          </w:p>
          <w:p w14:paraId="55AFACD8" w14:textId="4B40433E" w:rsidR="006B102C" w:rsidRDefault="006B102C" w:rsidP="006B102C">
            <w:pPr>
              <w:spacing w:before="120" w:after="120"/>
            </w:pPr>
            <w:r>
              <w:t>-Not published in English</w:t>
            </w:r>
          </w:p>
          <w:p w14:paraId="7E2687C5" w14:textId="42AB0AF4" w:rsidR="00554FFC" w:rsidRDefault="006B102C" w:rsidP="009E380F">
            <w:pPr>
              <w:spacing w:before="120" w:after="120"/>
            </w:pPr>
            <w:r>
              <w:t>-Case study</w:t>
            </w:r>
          </w:p>
        </w:tc>
      </w:tr>
    </w:tbl>
    <w:p w14:paraId="02061324" w14:textId="77777777" w:rsidR="00554FFC" w:rsidRDefault="00554FFC" w:rsidP="00554FFC">
      <w:pPr>
        <w:spacing w:before="120" w:after="120"/>
        <w:rPr>
          <w:b/>
          <w:sz w:val="18"/>
          <w:szCs w:val="18"/>
        </w:rPr>
      </w:pPr>
    </w:p>
    <w:p w14:paraId="3E190F5D" w14:textId="77777777" w:rsidR="00554FFC" w:rsidRDefault="00554FFC" w:rsidP="00554FFC">
      <w:pPr>
        <w:spacing w:before="120" w:after="120"/>
        <w:rPr>
          <w:b/>
          <w:sz w:val="18"/>
          <w:szCs w:val="18"/>
        </w:rPr>
      </w:pPr>
      <w:r>
        <w:rPr>
          <w:b/>
          <w:sz w:val="18"/>
          <w:szCs w:val="18"/>
        </w:rPr>
        <w:br w:type="page"/>
      </w:r>
      <w:r w:rsidRPr="00B75AAB">
        <w:rPr>
          <w:b/>
          <w:sz w:val="18"/>
          <w:szCs w:val="18"/>
        </w:rPr>
        <w:lastRenderedPageBreak/>
        <w:t>RESULTS OF SEARCH</w:t>
      </w:r>
    </w:p>
    <w:p w14:paraId="626F40F8" w14:textId="77777777" w:rsidR="00554FFC" w:rsidRDefault="00554FFC" w:rsidP="00554FFC">
      <w:pPr>
        <w:spacing w:before="120" w:after="120"/>
        <w:rPr>
          <w:b/>
          <w:sz w:val="18"/>
          <w:szCs w:val="18"/>
        </w:rPr>
      </w:pPr>
      <w:r>
        <w:rPr>
          <w:b/>
          <w:sz w:val="18"/>
          <w:szCs w:val="18"/>
        </w:rPr>
        <w:t>Summary of articles retrieved that met inclusion and exclusion criteria</w:t>
      </w:r>
    </w:p>
    <w:p w14:paraId="611C674C" w14:textId="77777777" w:rsidR="00D76272" w:rsidRPr="003C62CA" w:rsidRDefault="00D76272" w:rsidP="00D76272">
      <w:pPr>
        <w:spacing w:before="120" w:after="120"/>
        <w:rPr>
          <w:i/>
          <w:color w:val="365F91" w:themeColor="accent1" w:themeShade="BF"/>
        </w:rPr>
      </w:pPr>
      <w:r w:rsidRPr="003C62CA">
        <w:rPr>
          <w:i/>
          <w:color w:val="365F91" w:themeColor="accent1" w:themeShade="BF"/>
        </w:rPr>
        <w:t>For each article</w:t>
      </w:r>
      <w:r>
        <w:rPr>
          <w:i/>
          <w:color w:val="365F91" w:themeColor="accent1" w:themeShade="BF"/>
        </w:rPr>
        <w:t xml:space="preserve"> being considered for inclusion in the CAT</w:t>
      </w:r>
      <w:r w:rsidRPr="003C62CA">
        <w:rPr>
          <w:i/>
          <w:color w:val="365F91" w:themeColor="accent1" w:themeShade="BF"/>
        </w:rPr>
        <w:t xml:space="preserve">, score for methodological quality on an appropriate scale, categorize the level of evidence, </w:t>
      </w:r>
      <w:r>
        <w:rPr>
          <w:i/>
          <w:color w:val="365F91" w:themeColor="accent1" w:themeShade="BF"/>
        </w:rPr>
        <w:t xml:space="preserve">indicate whether the relevance of the study PICO to your PICO is high/mod/low, </w:t>
      </w:r>
      <w:r w:rsidRPr="003C62CA">
        <w:rPr>
          <w:i/>
          <w:color w:val="365F91" w:themeColor="accent1" w:themeShade="BF"/>
        </w:rPr>
        <w:t>and note the study design (e.g., RCT, systematic review, case study).</w:t>
      </w:r>
    </w:p>
    <w:tbl>
      <w:tblPr>
        <w:tblW w:w="107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1869"/>
        <w:gridCol w:w="1778"/>
        <w:gridCol w:w="1670"/>
        <w:gridCol w:w="2673"/>
      </w:tblGrid>
      <w:tr w:rsidR="006B102C" w:rsidRPr="002F16E1" w14:paraId="48CAAFA1" w14:textId="77777777" w:rsidTr="006B102C">
        <w:tc>
          <w:tcPr>
            <w:tcW w:w="2800" w:type="dxa"/>
            <w:tcBorders>
              <w:right w:val="single" w:sz="8" w:space="0" w:color="auto"/>
            </w:tcBorders>
            <w:shd w:val="clear" w:color="auto" w:fill="E6E6E6"/>
          </w:tcPr>
          <w:p w14:paraId="56182682" w14:textId="77777777" w:rsidR="006B102C" w:rsidRPr="002F16E1" w:rsidRDefault="006B102C" w:rsidP="00504B1D">
            <w:pPr>
              <w:spacing w:before="120" w:after="120"/>
              <w:jc w:val="center"/>
              <w:rPr>
                <w:b/>
                <w:sz w:val="18"/>
                <w:szCs w:val="18"/>
              </w:rPr>
            </w:pPr>
            <w:r>
              <w:rPr>
                <w:b/>
                <w:sz w:val="18"/>
                <w:szCs w:val="18"/>
              </w:rPr>
              <w:t>Author (Year)</w:t>
            </w:r>
          </w:p>
        </w:tc>
        <w:tc>
          <w:tcPr>
            <w:tcW w:w="1869" w:type="dxa"/>
            <w:tcBorders>
              <w:left w:val="single" w:sz="8" w:space="0" w:color="auto"/>
            </w:tcBorders>
            <w:shd w:val="clear" w:color="auto" w:fill="E6E6E6"/>
          </w:tcPr>
          <w:p w14:paraId="778A3E7C" w14:textId="1DB95B2E" w:rsidR="006B102C" w:rsidRPr="002F16E1" w:rsidRDefault="006B102C" w:rsidP="00504B1D">
            <w:pPr>
              <w:spacing w:before="120" w:after="120"/>
              <w:jc w:val="center"/>
              <w:rPr>
                <w:b/>
                <w:sz w:val="18"/>
                <w:szCs w:val="18"/>
              </w:rPr>
            </w:pPr>
            <w:r>
              <w:rPr>
                <w:b/>
                <w:sz w:val="18"/>
                <w:szCs w:val="18"/>
              </w:rPr>
              <w:t>Risk of bias (quality score)</w:t>
            </w:r>
          </w:p>
        </w:tc>
        <w:tc>
          <w:tcPr>
            <w:tcW w:w="1778" w:type="dxa"/>
            <w:shd w:val="clear" w:color="auto" w:fill="E6E6E6"/>
          </w:tcPr>
          <w:p w14:paraId="0D8C2585" w14:textId="6FE0D26E" w:rsidR="006B102C" w:rsidRPr="002F16E1" w:rsidRDefault="006B102C" w:rsidP="00504B1D">
            <w:pPr>
              <w:spacing w:before="120" w:after="120"/>
              <w:jc w:val="center"/>
              <w:rPr>
                <w:b/>
                <w:sz w:val="18"/>
                <w:szCs w:val="18"/>
              </w:rPr>
            </w:pPr>
            <w:r>
              <w:rPr>
                <w:b/>
                <w:sz w:val="18"/>
                <w:szCs w:val="18"/>
              </w:rPr>
              <w:t>Level of Evidence</w:t>
            </w:r>
          </w:p>
        </w:tc>
        <w:tc>
          <w:tcPr>
            <w:tcW w:w="1670" w:type="dxa"/>
            <w:shd w:val="clear" w:color="auto" w:fill="E6E6E6"/>
          </w:tcPr>
          <w:p w14:paraId="54880634" w14:textId="77777777" w:rsidR="006B102C" w:rsidRPr="002F16E1" w:rsidRDefault="006B102C" w:rsidP="00504B1D">
            <w:pPr>
              <w:spacing w:before="120" w:after="120"/>
              <w:jc w:val="center"/>
              <w:rPr>
                <w:b/>
                <w:sz w:val="18"/>
                <w:szCs w:val="18"/>
              </w:rPr>
            </w:pPr>
            <w:r>
              <w:rPr>
                <w:b/>
                <w:sz w:val="18"/>
                <w:szCs w:val="18"/>
              </w:rPr>
              <w:t>Relevance</w:t>
            </w:r>
          </w:p>
        </w:tc>
        <w:tc>
          <w:tcPr>
            <w:tcW w:w="2673" w:type="dxa"/>
            <w:shd w:val="clear" w:color="auto" w:fill="E6E6E6"/>
          </w:tcPr>
          <w:p w14:paraId="0162DD26" w14:textId="77777777" w:rsidR="006B102C" w:rsidRPr="002F16E1" w:rsidRDefault="006B102C" w:rsidP="00504B1D">
            <w:pPr>
              <w:spacing w:before="120" w:after="120"/>
              <w:jc w:val="center"/>
              <w:rPr>
                <w:b/>
                <w:sz w:val="18"/>
                <w:szCs w:val="18"/>
              </w:rPr>
            </w:pPr>
            <w:r>
              <w:rPr>
                <w:b/>
                <w:sz w:val="18"/>
                <w:szCs w:val="18"/>
              </w:rPr>
              <w:t>Study design</w:t>
            </w:r>
          </w:p>
        </w:tc>
      </w:tr>
      <w:tr w:rsidR="006B102C" w:rsidRPr="002F16E1" w14:paraId="7E36C783" w14:textId="77777777" w:rsidTr="006B102C">
        <w:tc>
          <w:tcPr>
            <w:tcW w:w="2800" w:type="dxa"/>
            <w:tcBorders>
              <w:right w:val="single" w:sz="8" w:space="0" w:color="auto"/>
            </w:tcBorders>
            <w:shd w:val="clear" w:color="auto" w:fill="auto"/>
          </w:tcPr>
          <w:p w14:paraId="22C08F81" w14:textId="77777777" w:rsidR="006B102C" w:rsidRPr="002F16E1" w:rsidRDefault="006B102C" w:rsidP="00504B1D">
            <w:pPr>
              <w:spacing w:before="120" w:after="120"/>
              <w:rPr>
                <w:b/>
                <w:sz w:val="18"/>
                <w:szCs w:val="18"/>
              </w:rPr>
            </w:pPr>
            <w:proofErr w:type="spellStart"/>
            <w:r>
              <w:rPr>
                <w:b/>
                <w:sz w:val="18"/>
                <w:szCs w:val="18"/>
              </w:rPr>
              <w:t>Louw</w:t>
            </w:r>
            <w:proofErr w:type="spellEnd"/>
            <w:r>
              <w:rPr>
                <w:b/>
                <w:sz w:val="18"/>
                <w:szCs w:val="18"/>
              </w:rPr>
              <w:t xml:space="preserve"> et al (2016)</w:t>
            </w:r>
          </w:p>
        </w:tc>
        <w:tc>
          <w:tcPr>
            <w:tcW w:w="1869" w:type="dxa"/>
            <w:tcBorders>
              <w:left w:val="single" w:sz="8" w:space="0" w:color="auto"/>
            </w:tcBorders>
            <w:shd w:val="clear" w:color="auto" w:fill="auto"/>
          </w:tcPr>
          <w:p w14:paraId="504E08E6" w14:textId="1EF5C62A" w:rsidR="006B102C" w:rsidRPr="002F16E1" w:rsidRDefault="006B102C" w:rsidP="00504B1D">
            <w:pPr>
              <w:spacing w:before="120" w:after="120"/>
              <w:rPr>
                <w:b/>
                <w:sz w:val="18"/>
                <w:szCs w:val="18"/>
              </w:rPr>
            </w:pPr>
            <w:r w:rsidRPr="006B102C">
              <w:rPr>
                <w:b/>
                <w:sz w:val="18"/>
                <w:szCs w:val="18"/>
              </w:rPr>
              <w:t>Quality Assessment of Systematic Review</w:t>
            </w:r>
            <w:r>
              <w:rPr>
                <w:b/>
                <w:sz w:val="18"/>
                <w:szCs w:val="18"/>
              </w:rPr>
              <w:t>*</w:t>
            </w:r>
            <w:r w:rsidRPr="006B102C">
              <w:rPr>
                <w:b/>
                <w:sz w:val="18"/>
                <w:szCs w:val="18"/>
              </w:rPr>
              <w:t>: Good (7/7)</w:t>
            </w:r>
          </w:p>
        </w:tc>
        <w:tc>
          <w:tcPr>
            <w:tcW w:w="1778" w:type="dxa"/>
            <w:shd w:val="clear" w:color="auto" w:fill="auto"/>
          </w:tcPr>
          <w:p w14:paraId="5CB852DE" w14:textId="77777777" w:rsidR="006B102C" w:rsidRPr="002F16E1" w:rsidRDefault="006B102C" w:rsidP="00504B1D">
            <w:pPr>
              <w:spacing w:before="120" w:after="120"/>
              <w:rPr>
                <w:b/>
                <w:sz w:val="18"/>
                <w:szCs w:val="18"/>
              </w:rPr>
            </w:pPr>
            <w:r>
              <w:rPr>
                <w:b/>
                <w:sz w:val="18"/>
                <w:szCs w:val="18"/>
              </w:rPr>
              <w:t>1</w:t>
            </w:r>
          </w:p>
        </w:tc>
        <w:tc>
          <w:tcPr>
            <w:tcW w:w="1670" w:type="dxa"/>
            <w:shd w:val="clear" w:color="auto" w:fill="auto"/>
          </w:tcPr>
          <w:p w14:paraId="264FFD65" w14:textId="77777777" w:rsidR="006B102C" w:rsidRPr="002F16E1" w:rsidRDefault="006B102C" w:rsidP="00504B1D">
            <w:pPr>
              <w:spacing w:before="120" w:after="120"/>
              <w:rPr>
                <w:b/>
                <w:sz w:val="18"/>
                <w:szCs w:val="18"/>
              </w:rPr>
            </w:pPr>
            <w:r>
              <w:rPr>
                <w:b/>
                <w:sz w:val="18"/>
                <w:szCs w:val="18"/>
              </w:rPr>
              <w:t>High</w:t>
            </w:r>
          </w:p>
        </w:tc>
        <w:tc>
          <w:tcPr>
            <w:tcW w:w="2673" w:type="dxa"/>
            <w:shd w:val="clear" w:color="auto" w:fill="auto"/>
          </w:tcPr>
          <w:p w14:paraId="65B8D100" w14:textId="77777777" w:rsidR="006B102C" w:rsidRPr="002F16E1" w:rsidRDefault="006B102C" w:rsidP="00504B1D">
            <w:pPr>
              <w:spacing w:before="120" w:after="120"/>
              <w:rPr>
                <w:b/>
                <w:sz w:val="18"/>
                <w:szCs w:val="18"/>
              </w:rPr>
            </w:pPr>
            <w:r>
              <w:rPr>
                <w:b/>
                <w:sz w:val="18"/>
                <w:szCs w:val="18"/>
              </w:rPr>
              <w:t>Systematic review</w:t>
            </w:r>
          </w:p>
        </w:tc>
      </w:tr>
      <w:tr w:rsidR="006B102C" w:rsidRPr="002F16E1" w14:paraId="7CC9BBFF" w14:textId="77777777" w:rsidTr="006B102C">
        <w:tc>
          <w:tcPr>
            <w:tcW w:w="2800" w:type="dxa"/>
            <w:tcBorders>
              <w:right w:val="single" w:sz="8" w:space="0" w:color="auto"/>
            </w:tcBorders>
            <w:shd w:val="clear" w:color="auto" w:fill="auto"/>
          </w:tcPr>
          <w:p w14:paraId="1690D69E" w14:textId="77777777" w:rsidR="006B102C" w:rsidRPr="002F16E1" w:rsidRDefault="006B102C" w:rsidP="00504B1D">
            <w:pPr>
              <w:spacing w:before="120" w:after="120"/>
              <w:rPr>
                <w:b/>
                <w:sz w:val="18"/>
                <w:szCs w:val="18"/>
              </w:rPr>
            </w:pPr>
            <w:proofErr w:type="spellStart"/>
            <w:r>
              <w:rPr>
                <w:b/>
                <w:sz w:val="18"/>
                <w:szCs w:val="18"/>
              </w:rPr>
              <w:t>Barbari</w:t>
            </w:r>
            <w:proofErr w:type="spellEnd"/>
            <w:r>
              <w:rPr>
                <w:b/>
                <w:sz w:val="18"/>
                <w:szCs w:val="18"/>
              </w:rPr>
              <w:t xml:space="preserve"> et al (2020)</w:t>
            </w:r>
          </w:p>
        </w:tc>
        <w:tc>
          <w:tcPr>
            <w:tcW w:w="1869" w:type="dxa"/>
            <w:tcBorders>
              <w:left w:val="single" w:sz="8" w:space="0" w:color="auto"/>
            </w:tcBorders>
            <w:shd w:val="clear" w:color="auto" w:fill="auto"/>
          </w:tcPr>
          <w:p w14:paraId="4D861FC6" w14:textId="5C0DA790" w:rsidR="006B102C" w:rsidRPr="002F16E1" w:rsidRDefault="006B102C" w:rsidP="00504B1D">
            <w:pPr>
              <w:spacing w:before="120" w:after="120"/>
              <w:rPr>
                <w:b/>
                <w:sz w:val="18"/>
                <w:szCs w:val="18"/>
              </w:rPr>
            </w:pPr>
            <w:r w:rsidRPr="006B102C">
              <w:rPr>
                <w:b/>
                <w:sz w:val="18"/>
                <w:szCs w:val="18"/>
              </w:rPr>
              <w:t>Quality Assessment of Systematic Review</w:t>
            </w:r>
            <w:r>
              <w:rPr>
                <w:b/>
                <w:sz w:val="18"/>
                <w:szCs w:val="18"/>
              </w:rPr>
              <w:t>*</w:t>
            </w:r>
            <w:r w:rsidRPr="006B102C">
              <w:rPr>
                <w:b/>
                <w:sz w:val="18"/>
                <w:szCs w:val="18"/>
              </w:rPr>
              <w:t>: Good (7/</w:t>
            </w:r>
            <w:r w:rsidR="00DE3201">
              <w:rPr>
                <w:b/>
                <w:sz w:val="18"/>
                <w:szCs w:val="18"/>
              </w:rPr>
              <w:t>7</w:t>
            </w:r>
            <w:r w:rsidRPr="006B102C">
              <w:rPr>
                <w:b/>
                <w:sz w:val="18"/>
                <w:szCs w:val="18"/>
              </w:rPr>
              <w:t>)</w:t>
            </w:r>
          </w:p>
        </w:tc>
        <w:tc>
          <w:tcPr>
            <w:tcW w:w="1778" w:type="dxa"/>
            <w:shd w:val="clear" w:color="auto" w:fill="auto"/>
          </w:tcPr>
          <w:p w14:paraId="2D7DC77F" w14:textId="77777777" w:rsidR="006B102C" w:rsidRPr="002F16E1" w:rsidRDefault="006B102C" w:rsidP="00504B1D">
            <w:pPr>
              <w:spacing w:before="120" w:after="120"/>
              <w:rPr>
                <w:b/>
                <w:sz w:val="18"/>
                <w:szCs w:val="18"/>
              </w:rPr>
            </w:pPr>
            <w:r>
              <w:rPr>
                <w:b/>
                <w:sz w:val="18"/>
                <w:szCs w:val="18"/>
              </w:rPr>
              <w:t>1</w:t>
            </w:r>
          </w:p>
        </w:tc>
        <w:tc>
          <w:tcPr>
            <w:tcW w:w="1670" w:type="dxa"/>
            <w:shd w:val="clear" w:color="auto" w:fill="auto"/>
          </w:tcPr>
          <w:p w14:paraId="4D5B2170" w14:textId="77777777" w:rsidR="006B102C" w:rsidRPr="002F16E1" w:rsidRDefault="006B102C" w:rsidP="00504B1D">
            <w:pPr>
              <w:spacing w:before="120" w:after="120"/>
              <w:rPr>
                <w:b/>
                <w:sz w:val="18"/>
                <w:szCs w:val="18"/>
              </w:rPr>
            </w:pPr>
            <w:r>
              <w:rPr>
                <w:b/>
                <w:sz w:val="18"/>
                <w:szCs w:val="18"/>
              </w:rPr>
              <w:t>High</w:t>
            </w:r>
          </w:p>
        </w:tc>
        <w:tc>
          <w:tcPr>
            <w:tcW w:w="2673" w:type="dxa"/>
            <w:shd w:val="clear" w:color="auto" w:fill="auto"/>
          </w:tcPr>
          <w:p w14:paraId="3C1E9869" w14:textId="77777777" w:rsidR="006B102C" w:rsidRPr="002F16E1" w:rsidRDefault="006B102C" w:rsidP="00504B1D">
            <w:pPr>
              <w:spacing w:before="120" w:after="120"/>
              <w:rPr>
                <w:b/>
                <w:sz w:val="18"/>
                <w:szCs w:val="18"/>
              </w:rPr>
            </w:pPr>
            <w:r>
              <w:rPr>
                <w:b/>
                <w:sz w:val="18"/>
                <w:szCs w:val="18"/>
              </w:rPr>
              <w:t>Systematic review</w:t>
            </w:r>
          </w:p>
        </w:tc>
      </w:tr>
      <w:tr w:rsidR="006B102C" w:rsidRPr="002F16E1" w14:paraId="50A14F65" w14:textId="77777777" w:rsidTr="006B102C">
        <w:tc>
          <w:tcPr>
            <w:tcW w:w="2800" w:type="dxa"/>
            <w:tcBorders>
              <w:right w:val="single" w:sz="8" w:space="0" w:color="auto"/>
            </w:tcBorders>
            <w:shd w:val="clear" w:color="auto" w:fill="auto"/>
          </w:tcPr>
          <w:p w14:paraId="623E2D41" w14:textId="77777777" w:rsidR="006B102C" w:rsidRPr="002F16E1" w:rsidRDefault="006B102C" w:rsidP="00504B1D">
            <w:pPr>
              <w:spacing w:before="120" w:after="120"/>
              <w:rPr>
                <w:b/>
                <w:sz w:val="18"/>
                <w:szCs w:val="18"/>
              </w:rPr>
            </w:pPr>
            <w:r>
              <w:rPr>
                <w:b/>
                <w:sz w:val="18"/>
                <w:szCs w:val="18"/>
              </w:rPr>
              <w:t>Bodes et al (2018)</w:t>
            </w:r>
          </w:p>
        </w:tc>
        <w:tc>
          <w:tcPr>
            <w:tcW w:w="1869" w:type="dxa"/>
            <w:tcBorders>
              <w:left w:val="single" w:sz="8" w:space="0" w:color="auto"/>
            </w:tcBorders>
            <w:shd w:val="clear" w:color="auto" w:fill="auto"/>
          </w:tcPr>
          <w:p w14:paraId="065B0E21" w14:textId="77777777" w:rsidR="006B102C" w:rsidRPr="002F16E1" w:rsidRDefault="006B102C" w:rsidP="00504B1D">
            <w:pPr>
              <w:spacing w:before="120" w:after="120"/>
              <w:rPr>
                <w:b/>
                <w:sz w:val="18"/>
                <w:szCs w:val="18"/>
              </w:rPr>
            </w:pPr>
            <w:r>
              <w:rPr>
                <w:b/>
                <w:sz w:val="18"/>
                <w:szCs w:val="18"/>
              </w:rPr>
              <w:t>Cochrane risk of bias: some concerns (no blinding of outcome assessment and high risk of reporting bias)</w:t>
            </w:r>
          </w:p>
        </w:tc>
        <w:tc>
          <w:tcPr>
            <w:tcW w:w="1778" w:type="dxa"/>
            <w:shd w:val="clear" w:color="auto" w:fill="auto"/>
          </w:tcPr>
          <w:p w14:paraId="6E39B099" w14:textId="77777777" w:rsidR="006B102C" w:rsidRPr="002F16E1" w:rsidRDefault="006B102C" w:rsidP="00504B1D">
            <w:pPr>
              <w:spacing w:before="120" w:after="120"/>
              <w:rPr>
                <w:b/>
                <w:sz w:val="18"/>
                <w:szCs w:val="18"/>
              </w:rPr>
            </w:pPr>
            <w:r>
              <w:rPr>
                <w:b/>
                <w:sz w:val="18"/>
                <w:szCs w:val="18"/>
              </w:rPr>
              <w:t>2</w:t>
            </w:r>
          </w:p>
        </w:tc>
        <w:tc>
          <w:tcPr>
            <w:tcW w:w="1670" w:type="dxa"/>
            <w:shd w:val="clear" w:color="auto" w:fill="auto"/>
          </w:tcPr>
          <w:p w14:paraId="3638C8A8" w14:textId="77777777" w:rsidR="006B102C" w:rsidRPr="002F16E1" w:rsidRDefault="006B102C" w:rsidP="00504B1D">
            <w:pPr>
              <w:spacing w:before="120" w:after="120"/>
              <w:rPr>
                <w:b/>
                <w:sz w:val="18"/>
                <w:szCs w:val="18"/>
              </w:rPr>
            </w:pPr>
            <w:r>
              <w:rPr>
                <w:b/>
                <w:sz w:val="18"/>
                <w:szCs w:val="18"/>
              </w:rPr>
              <w:t>Mod</w:t>
            </w:r>
          </w:p>
        </w:tc>
        <w:tc>
          <w:tcPr>
            <w:tcW w:w="2673" w:type="dxa"/>
            <w:shd w:val="clear" w:color="auto" w:fill="auto"/>
          </w:tcPr>
          <w:p w14:paraId="3B769E3D" w14:textId="77777777" w:rsidR="006B102C" w:rsidRPr="002F16E1" w:rsidRDefault="006B102C" w:rsidP="00504B1D">
            <w:pPr>
              <w:spacing w:before="120" w:after="120"/>
              <w:rPr>
                <w:b/>
                <w:sz w:val="18"/>
                <w:szCs w:val="18"/>
              </w:rPr>
            </w:pPr>
            <w:r>
              <w:rPr>
                <w:b/>
                <w:sz w:val="18"/>
                <w:szCs w:val="18"/>
              </w:rPr>
              <w:t>RCT</w:t>
            </w:r>
          </w:p>
        </w:tc>
      </w:tr>
      <w:tr w:rsidR="006B102C" w:rsidRPr="002F16E1" w14:paraId="57D1CBA9" w14:textId="77777777" w:rsidTr="006B102C">
        <w:tc>
          <w:tcPr>
            <w:tcW w:w="2800" w:type="dxa"/>
            <w:tcBorders>
              <w:right w:val="single" w:sz="8" w:space="0" w:color="auto"/>
            </w:tcBorders>
            <w:shd w:val="clear" w:color="auto" w:fill="auto"/>
          </w:tcPr>
          <w:p w14:paraId="576FA93C" w14:textId="77777777" w:rsidR="006B102C" w:rsidRPr="002F16E1" w:rsidRDefault="006B102C" w:rsidP="00504B1D">
            <w:pPr>
              <w:spacing w:before="120" w:after="120"/>
              <w:rPr>
                <w:b/>
                <w:sz w:val="18"/>
                <w:szCs w:val="18"/>
              </w:rPr>
            </w:pPr>
            <w:proofErr w:type="spellStart"/>
            <w:r>
              <w:rPr>
                <w:b/>
                <w:sz w:val="18"/>
                <w:szCs w:val="18"/>
              </w:rPr>
              <w:t>Malfliet</w:t>
            </w:r>
            <w:proofErr w:type="spellEnd"/>
            <w:r>
              <w:rPr>
                <w:b/>
                <w:sz w:val="18"/>
                <w:szCs w:val="18"/>
              </w:rPr>
              <w:t xml:space="preserve"> et al (2018)</w:t>
            </w:r>
          </w:p>
        </w:tc>
        <w:tc>
          <w:tcPr>
            <w:tcW w:w="1869" w:type="dxa"/>
            <w:tcBorders>
              <w:left w:val="single" w:sz="8" w:space="0" w:color="auto"/>
            </w:tcBorders>
            <w:shd w:val="clear" w:color="auto" w:fill="auto"/>
          </w:tcPr>
          <w:p w14:paraId="71BC50F0" w14:textId="77777777" w:rsidR="006B102C" w:rsidRPr="002F16E1" w:rsidRDefault="006B102C" w:rsidP="00504B1D">
            <w:pPr>
              <w:spacing w:before="120" w:after="120"/>
              <w:rPr>
                <w:b/>
                <w:sz w:val="18"/>
                <w:szCs w:val="18"/>
              </w:rPr>
            </w:pPr>
            <w:r>
              <w:rPr>
                <w:b/>
                <w:sz w:val="18"/>
                <w:szCs w:val="18"/>
              </w:rPr>
              <w:t>Cochrane risk of bias: low risk of bias</w:t>
            </w:r>
          </w:p>
        </w:tc>
        <w:tc>
          <w:tcPr>
            <w:tcW w:w="1778" w:type="dxa"/>
            <w:shd w:val="clear" w:color="auto" w:fill="auto"/>
          </w:tcPr>
          <w:p w14:paraId="607A07D6" w14:textId="77777777" w:rsidR="006B102C" w:rsidRPr="002F16E1" w:rsidRDefault="006B102C" w:rsidP="00504B1D">
            <w:pPr>
              <w:spacing w:before="120" w:after="120"/>
              <w:rPr>
                <w:b/>
                <w:sz w:val="18"/>
                <w:szCs w:val="18"/>
              </w:rPr>
            </w:pPr>
            <w:r>
              <w:rPr>
                <w:b/>
                <w:sz w:val="18"/>
                <w:szCs w:val="18"/>
              </w:rPr>
              <w:t>2</w:t>
            </w:r>
          </w:p>
        </w:tc>
        <w:tc>
          <w:tcPr>
            <w:tcW w:w="1670" w:type="dxa"/>
            <w:shd w:val="clear" w:color="auto" w:fill="auto"/>
          </w:tcPr>
          <w:p w14:paraId="448B984D" w14:textId="5055ED91" w:rsidR="006B102C" w:rsidRPr="002F16E1" w:rsidRDefault="00036A3A" w:rsidP="00504B1D">
            <w:pPr>
              <w:spacing w:before="120" w:after="120"/>
              <w:rPr>
                <w:b/>
                <w:sz w:val="18"/>
                <w:szCs w:val="18"/>
              </w:rPr>
            </w:pPr>
            <w:r>
              <w:rPr>
                <w:b/>
                <w:sz w:val="18"/>
                <w:szCs w:val="18"/>
              </w:rPr>
              <w:t>Mod</w:t>
            </w:r>
          </w:p>
        </w:tc>
        <w:tc>
          <w:tcPr>
            <w:tcW w:w="2673" w:type="dxa"/>
            <w:shd w:val="clear" w:color="auto" w:fill="auto"/>
          </w:tcPr>
          <w:p w14:paraId="3A5E899B" w14:textId="77777777" w:rsidR="006B102C" w:rsidRPr="002F16E1" w:rsidRDefault="006B102C" w:rsidP="00504B1D">
            <w:pPr>
              <w:spacing w:before="120" w:after="120"/>
              <w:rPr>
                <w:b/>
                <w:sz w:val="18"/>
                <w:szCs w:val="18"/>
              </w:rPr>
            </w:pPr>
            <w:r>
              <w:rPr>
                <w:b/>
                <w:sz w:val="18"/>
                <w:szCs w:val="18"/>
              </w:rPr>
              <w:t>RCT</w:t>
            </w:r>
          </w:p>
        </w:tc>
      </w:tr>
      <w:tr w:rsidR="006B102C" w:rsidRPr="002F16E1" w14:paraId="4DE9E106" w14:textId="77777777" w:rsidTr="006B102C">
        <w:tc>
          <w:tcPr>
            <w:tcW w:w="2800" w:type="dxa"/>
            <w:tcBorders>
              <w:right w:val="single" w:sz="8" w:space="0" w:color="auto"/>
            </w:tcBorders>
            <w:shd w:val="clear" w:color="auto" w:fill="auto"/>
          </w:tcPr>
          <w:p w14:paraId="267EEFC2" w14:textId="77777777" w:rsidR="006B102C" w:rsidRPr="002F16E1" w:rsidRDefault="006B102C" w:rsidP="00504B1D">
            <w:pPr>
              <w:spacing w:before="120" w:after="120"/>
              <w:rPr>
                <w:b/>
                <w:sz w:val="18"/>
                <w:szCs w:val="18"/>
              </w:rPr>
            </w:pPr>
            <w:r>
              <w:rPr>
                <w:b/>
                <w:sz w:val="18"/>
                <w:szCs w:val="18"/>
              </w:rPr>
              <w:t>Tellez-Garcia et al (2015)</w:t>
            </w:r>
          </w:p>
        </w:tc>
        <w:tc>
          <w:tcPr>
            <w:tcW w:w="1869" w:type="dxa"/>
            <w:tcBorders>
              <w:left w:val="single" w:sz="8" w:space="0" w:color="auto"/>
            </w:tcBorders>
            <w:shd w:val="clear" w:color="auto" w:fill="auto"/>
          </w:tcPr>
          <w:p w14:paraId="6EC0A563" w14:textId="77777777" w:rsidR="006B102C" w:rsidRPr="002F16E1" w:rsidRDefault="006B102C" w:rsidP="00504B1D">
            <w:pPr>
              <w:spacing w:before="120" w:after="120"/>
              <w:rPr>
                <w:b/>
                <w:sz w:val="18"/>
                <w:szCs w:val="18"/>
              </w:rPr>
            </w:pPr>
            <w:r>
              <w:rPr>
                <w:b/>
                <w:sz w:val="18"/>
                <w:szCs w:val="18"/>
              </w:rPr>
              <w:t>Cochrane risk of bias: low risk of bias</w:t>
            </w:r>
          </w:p>
        </w:tc>
        <w:tc>
          <w:tcPr>
            <w:tcW w:w="1778" w:type="dxa"/>
            <w:shd w:val="clear" w:color="auto" w:fill="auto"/>
          </w:tcPr>
          <w:p w14:paraId="6F95C4D7" w14:textId="77777777" w:rsidR="006B102C" w:rsidRPr="002F16E1" w:rsidRDefault="006B102C" w:rsidP="00504B1D">
            <w:pPr>
              <w:spacing w:before="120" w:after="120"/>
              <w:rPr>
                <w:b/>
                <w:sz w:val="18"/>
                <w:szCs w:val="18"/>
              </w:rPr>
            </w:pPr>
            <w:r>
              <w:rPr>
                <w:b/>
                <w:sz w:val="18"/>
                <w:szCs w:val="18"/>
              </w:rPr>
              <w:t>2</w:t>
            </w:r>
          </w:p>
        </w:tc>
        <w:tc>
          <w:tcPr>
            <w:tcW w:w="1670" w:type="dxa"/>
            <w:shd w:val="clear" w:color="auto" w:fill="auto"/>
          </w:tcPr>
          <w:p w14:paraId="5FAD724D" w14:textId="77777777" w:rsidR="006B102C" w:rsidRPr="002F16E1" w:rsidRDefault="006B102C" w:rsidP="00504B1D">
            <w:pPr>
              <w:spacing w:before="120" w:after="120"/>
              <w:rPr>
                <w:b/>
                <w:sz w:val="18"/>
                <w:szCs w:val="18"/>
              </w:rPr>
            </w:pPr>
            <w:r>
              <w:rPr>
                <w:b/>
                <w:sz w:val="18"/>
                <w:szCs w:val="18"/>
              </w:rPr>
              <w:t>Low due to inclusion of dry needling</w:t>
            </w:r>
          </w:p>
        </w:tc>
        <w:tc>
          <w:tcPr>
            <w:tcW w:w="2673" w:type="dxa"/>
            <w:shd w:val="clear" w:color="auto" w:fill="auto"/>
          </w:tcPr>
          <w:p w14:paraId="1C06DA1A" w14:textId="77777777" w:rsidR="006B102C" w:rsidRPr="002F16E1" w:rsidRDefault="006B102C" w:rsidP="00504B1D">
            <w:pPr>
              <w:spacing w:before="120" w:after="120"/>
              <w:rPr>
                <w:b/>
                <w:sz w:val="18"/>
                <w:szCs w:val="18"/>
              </w:rPr>
            </w:pPr>
            <w:r>
              <w:rPr>
                <w:b/>
                <w:sz w:val="18"/>
                <w:szCs w:val="18"/>
              </w:rPr>
              <w:t>RCT</w:t>
            </w:r>
          </w:p>
        </w:tc>
      </w:tr>
      <w:tr w:rsidR="006B102C" w:rsidRPr="002F16E1" w14:paraId="0E0D06DC" w14:textId="77777777" w:rsidTr="006B102C">
        <w:tc>
          <w:tcPr>
            <w:tcW w:w="2800" w:type="dxa"/>
            <w:tcBorders>
              <w:right w:val="single" w:sz="8" w:space="0" w:color="auto"/>
            </w:tcBorders>
            <w:shd w:val="clear" w:color="auto" w:fill="auto"/>
          </w:tcPr>
          <w:p w14:paraId="206A8B42" w14:textId="77777777" w:rsidR="006B102C" w:rsidRPr="002F16E1" w:rsidRDefault="006B102C" w:rsidP="00504B1D">
            <w:pPr>
              <w:spacing w:before="120" w:after="120"/>
              <w:rPr>
                <w:b/>
                <w:sz w:val="18"/>
                <w:szCs w:val="18"/>
              </w:rPr>
            </w:pPr>
            <w:proofErr w:type="spellStart"/>
            <w:r>
              <w:rPr>
                <w:b/>
                <w:sz w:val="18"/>
                <w:szCs w:val="18"/>
              </w:rPr>
              <w:t>Sillevis</w:t>
            </w:r>
            <w:proofErr w:type="spellEnd"/>
            <w:r>
              <w:rPr>
                <w:b/>
                <w:sz w:val="18"/>
                <w:szCs w:val="18"/>
              </w:rPr>
              <w:t xml:space="preserve"> et al (2021)</w:t>
            </w:r>
          </w:p>
        </w:tc>
        <w:tc>
          <w:tcPr>
            <w:tcW w:w="1869" w:type="dxa"/>
            <w:tcBorders>
              <w:left w:val="single" w:sz="8" w:space="0" w:color="auto"/>
            </w:tcBorders>
            <w:shd w:val="clear" w:color="auto" w:fill="auto"/>
          </w:tcPr>
          <w:p w14:paraId="326D21EB" w14:textId="77777777" w:rsidR="006B102C" w:rsidRPr="002F16E1" w:rsidRDefault="006B102C" w:rsidP="00504B1D">
            <w:pPr>
              <w:spacing w:before="120" w:after="120"/>
              <w:rPr>
                <w:b/>
                <w:sz w:val="18"/>
                <w:szCs w:val="18"/>
              </w:rPr>
            </w:pPr>
            <w:r>
              <w:rPr>
                <w:b/>
                <w:sz w:val="18"/>
                <w:szCs w:val="18"/>
              </w:rPr>
              <w:t>Cochrane risk of bias: some concerns (small convenience sample size)</w:t>
            </w:r>
          </w:p>
        </w:tc>
        <w:tc>
          <w:tcPr>
            <w:tcW w:w="1778" w:type="dxa"/>
            <w:shd w:val="clear" w:color="auto" w:fill="auto"/>
          </w:tcPr>
          <w:p w14:paraId="1FBAFE07" w14:textId="77777777" w:rsidR="006B102C" w:rsidRPr="002F16E1" w:rsidRDefault="006B102C" w:rsidP="00504B1D">
            <w:pPr>
              <w:spacing w:before="120" w:after="120"/>
              <w:rPr>
                <w:b/>
                <w:sz w:val="18"/>
                <w:szCs w:val="18"/>
              </w:rPr>
            </w:pPr>
            <w:r>
              <w:rPr>
                <w:b/>
                <w:sz w:val="18"/>
                <w:szCs w:val="18"/>
              </w:rPr>
              <w:t>2</w:t>
            </w:r>
          </w:p>
        </w:tc>
        <w:tc>
          <w:tcPr>
            <w:tcW w:w="1670" w:type="dxa"/>
            <w:shd w:val="clear" w:color="auto" w:fill="auto"/>
          </w:tcPr>
          <w:p w14:paraId="63B01B39" w14:textId="77777777" w:rsidR="006B102C" w:rsidRPr="002F16E1" w:rsidRDefault="006B102C" w:rsidP="00504B1D">
            <w:pPr>
              <w:spacing w:before="120" w:after="120"/>
              <w:rPr>
                <w:b/>
                <w:sz w:val="18"/>
                <w:szCs w:val="18"/>
              </w:rPr>
            </w:pPr>
            <w:r>
              <w:rPr>
                <w:b/>
                <w:sz w:val="18"/>
                <w:szCs w:val="18"/>
              </w:rPr>
              <w:t>Low; short intervention (5 min video) and not specifically targeting low back pain</w:t>
            </w:r>
          </w:p>
        </w:tc>
        <w:tc>
          <w:tcPr>
            <w:tcW w:w="2673" w:type="dxa"/>
            <w:shd w:val="clear" w:color="auto" w:fill="auto"/>
          </w:tcPr>
          <w:p w14:paraId="76113AE3" w14:textId="77777777" w:rsidR="006B102C" w:rsidRPr="002F16E1" w:rsidRDefault="006B102C" w:rsidP="00504B1D">
            <w:pPr>
              <w:spacing w:before="120" w:after="120"/>
              <w:rPr>
                <w:b/>
                <w:sz w:val="18"/>
                <w:szCs w:val="18"/>
              </w:rPr>
            </w:pPr>
            <w:r>
              <w:rPr>
                <w:b/>
                <w:sz w:val="18"/>
                <w:szCs w:val="18"/>
              </w:rPr>
              <w:t>RCT</w:t>
            </w:r>
          </w:p>
        </w:tc>
      </w:tr>
      <w:tr w:rsidR="006B102C" w:rsidRPr="002F16E1" w14:paraId="4641CE5B" w14:textId="77777777" w:rsidTr="006B102C">
        <w:tc>
          <w:tcPr>
            <w:tcW w:w="2800" w:type="dxa"/>
            <w:tcBorders>
              <w:right w:val="single" w:sz="8" w:space="0" w:color="auto"/>
            </w:tcBorders>
            <w:shd w:val="clear" w:color="auto" w:fill="auto"/>
          </w:tcPr>
          <w:p w14:paraId="581388A0" w14:textId="77777777" w:rsidR="006B102C" w:rsidRDefault="006B102C" w:rsidP="00504B1D">
            <w:pPr>
              <w:spacing w:before="120" w:after="120"/>
              <w:rPr>
                <w:b/>
                <w:sz w:val="18"/>
                <w:szCs w:val="18"/>
              </w:rPr>
            </w:pPr>
            <w:proofErr w:type="spellStart"/>
            <w:r>
              <w:rPr>
                <w:b/>
                <w:sz w:val="18"/>
                <w:szCs w:val="18"/>
              </w:rPr>
              <w:t>Mafliet</w:t>
            </w:r>
            <w:proofErr w:type="spellEnd"/>
            <w:r w:rsidR="006E21DE">
              <w:rPr>
                <w:b/>
                <w:sz w:val="18"/>
                <w:szCs w:val="18"/>
              </w:rPr>
              <w:t xml:space="preserve"> et al </w:t>
            </w:r>
            <w:r>
              <w:rPr>
                <w:b/>
                <w:sz w:val="18"/>
                <w:szCs w:val="18"/>
              </w:rPr>
              <w:t>(2018)</w:t>
            </w:r>
          </w:p>
          <w:p w14:paraId="24CCEB15" w14:textId="71856494" w:rsidR="006E21DE" w:rsidRPr="002F16E1" w:rsidRDefault="006E21DE" w:rsidP="00504B1D">
            <w:pPr>
              <w:spacing w:before="120" w:after="120"/>
              <w:rPr>
                <w:b/>
                <w:sz w:val="18"/>
                <w:szCs w:val="18"/>
              </w:rPr>
            </w:pPr>
            <w:r>
              <w:rPr>
                <w:b/>
                <w:sz w:val="18"/>
                <w:szCs w:val="18"/>
              </w:rPr>
              <w:t>(</w:t>
            </w:r>
            <w:proofErr w:type="gramStart"/>
            <w:r>
              <w:rPr>
                <w:b/>
                <w:sz w:val="18"/>
                <w:szCs w:val="18"/>
              </w:rPr>
              <w:t>blended</w:t>
            </w:r>
            <w:proofErr w:type="gramEnd"/>
            <w:r>
              <w:rPr>
                <w:b/>
                <w:sz w:val="18"/>
                <w:szCs w:val="18"/>
              </w:rPr>
              <w:t xml:space="preserve"> learning)</w:t>
            </w:r>
          </w:p>
        </w:tc>
        <w:tc>
          <w:tcPr>
            <w:tcW w:w="1869" w:type="dxa"/>
            <w:tcBorders>
              <w:left w:val="single" w:sz="8" w:space="0" w:color="auto"/>
            </w:tcBorders>
            <w:shd w:val="clear" w:color="auto" w:fill="auto"/>
          </w:tcPr>
          <w:p w14:paraId="64635134" w14:textId="77777777" w:rsidR="006B102C" w:rsidRPr="002F16E1" w:rsidRDefault="006B102C" w:rsidP="00504B1D">
            <w:pPr>
              <w:spacing w:before="120" w:after="120"/>
              <w:rPr>
                <w:b/>
                <w:sz w:val="18"/>
                <w:szCs w:val="18"/>
              </w:rPr>
            </w:pPr>
            <w:r>
              <w:rPr>
                <w:b/>
                <w:sz w:val="18"/>
                <w:szCs w:val="18"/>
              </w:rPr>
              <w:t xml:space="preserve">Cochrane risk of bias: low risk of bias </w:t>
            </w:r>
          </w:p>
        </w:tc>
        <w:tc>
          <w:tcPr>
            <w:tcW w:w="1778" w:type="dxa"/>
            <w:shd w:val="clear" w:color="auto" w:fill="auto"/>
          </w:tcPr>
          <w:p w14:paraId="512F2A28" w14:textId="77777777" w:rsidR="006B102C" w:rsidRPr="002F16E1" w:rsidRDefault="006B102C" w:rsidP="00504B1D">
            <w:pPr>
              <w:spacing w:before="120" w:after="120"/>
              <w:rPr>
                <w:b/>
                <w:sz w:val="18"/>
                <w:szCs w:val="18"/>
              </w:rPr>
            </w:pPr>
            <w:r>
              <w:rPr>
                <w:b/>
                <w:sz w:val="18"/>
                <w:szCs w:val="18"/>
              </w:rPr>
              <w:t>2</w:t>
            </w:r>
          </w:p>
        </w:tc>
        <w:tc>
          <w:tcPr>
            <w:tcW w:w="1670" w:type="dxa"/>
            <w:shd w:val="clear" w:color="auto" w:fill="auto"/>
          </w:tcPr>
          <w:p w14:paraId="19711A73" w14:textId="77777777" w:rsidR="006B102C" w:rsidRPr="002F16E1" w:rsidRDefault="006B102C" w:rsidP="00504B1D">
            <w:pPr>
              <w:spacing w:before="120" w:after="120"/>
              <w:rPr>
                <w:b/>
                <w:sz w:val="18"/>
                <w:szCs w:val="18"/>
              </w:rPr>
            </w:pPr>
            <w:r>
              <w:rPr>
                <w:b/>
                <w:sz w:val="18"/>
                <w:szCs w:val="18"/>
              </w:rPr>
              <w:t>Mod</w:t>
            </w:r>
          </w:p>
        </w:tc>
        <w:tc>
          <w:tcPr>
            <w:tcW w:w="2673" w:type="dxa"/>
            <w:shd w:val="clear" w:color="auto" w:fill="auto"/>
          </w:tcPr>
          <w:p w14:paraId="2310600E" w14:textId="77777777" w:rsidR="006B102C" w:rsidRPr="002F16E1" w:rsidRDefault="006B102C" w:rsidP="00504B1D">
            <w:pPr>
              <w:spacing w:before="120" w:after="120"/>
              <w:rPr>
                <w:b/>
                <w:sz w:val="18"/>
                <w:szCs w:val="18"/>
              </w:rPr>
            </w:pPr>
            <w:r>
              <w:rPr>
                <w:b/>
                <w:sz w:val="18"/>
                <w:szCs w:val="18"/>
              </w:rPr>
              <w:t>RCT</w:t>
            </w:r>
          </w:p>
        </w:tc>
      </w:tr>
      <w:tr w:rsidR="006B102C" w:rsidRPr="002F16E1" w14:paraId="20D0680C" w14:textId="77777777" w:rsidTr="006B102C">
        <w:tc>
          <w:tcPr>
            <w:tcW w:w="2800" w:type="dxa"/>
            <w:tcBorders>
              <w:right w:val="single" w:sz="8" w:space="0" w:color="auto"/>
            </w:tcBorders>
            <w:shd w:val="clear" w:color="auto" w:fill="auto"/>
          </w:tcPr>
          <w:p w14:paraId="659647A8" w14:textId="77777777" w:rsidR="006B102C" w:rsidRPr="002F16E1" w:rsidRDefault="006B102C" w:rsidP="00504B1D">
            <w:pPr>
              <w:spacing w:before="120" w:after="120"/>
              <w:rPr>
                <w:b/>
                <w:sz w:val="18"/>
                <w:szCs w:val="18"/>
              </w:rPr>
            </w:pPr>
            <w:r>
              <w:rPr>
                <w:b/>
                <w:sz w:val="18"/>
                <w:szCs w:val="18"/>
              </w:rPr>
              <w:t>Wood et al (2019)</w:t>
            </w:r>
          </w:p>
        </w:tc>
        <w:tc>
          <w:tcPr>
            <w:tcW w:w="1869" w:type="dxa"/>
            <w:tcBorders>
              <w:left w:val="single" w:sz="8" w:space="0" w:color="auto"/>
            </w:tcBorders>
            <w:shd w:val="clear" w:color="auto" w:fill="auto"/>
          </w:tcPr>
          <w:p w14:paraId="5147E6A0" w14:textId="170DC542" w:rsidR="006B102C" w:rsidRPr="002F16E1" w:rsidRDefault="006B102C" w:rsidP="00504B1D">
            <w:pPr>
              <w:spacing w:before="120" w:after="120"/>
              <w:rPr>
                <w:b/>
                <w:sz w:val="18"/>
                <w:szCs w:val="18"/>
              </w:rPr>
            </w:pPr>
            <w:r w:rsidRPr="006B102C">
              <w:rPr>
                <w:b/>
                <w:sz w:val="18"/>
                <w:szCs w:val="18"/>
              </w:rPr>
              <w:t>Quality Assessment of Systematic Reviews and Meta-analyses</w:t>
            </w:r>
            <w:r w:rsidR="00426597">
              <w:rPr>
                <w:b/>
                <w:sz w:val="18"/>
                <w:szCs w:val="18"/>
              </w:rPr>
              <w:t>*</w:t>
            </w:r>
            <w:r w:rsidRPr="006B102C">
              <w:rPr>
                <w:b/>
                <w:sz w:val="18"/>
                <w:szCs w:val="18"/>
              </w:rPr>
              <w:t>: Good (8/8)</w:t>
            </w:r>
          </w:p>
        </w:tc>
        <w:tc>
          <w:tcPr>
            <w:tcW w:w="1778" w:type="dxa"/>
            <w:shd w:val="clear" w:color="auto" w:fill="auto"/>
          </w:tcPr>
          <w:p w14:paraId="4E6765DC" w14:textId="77777777" w:rsidR="006B102C" w:rsidRPr="002F16E1" w:rsidRDefault="006B102C" w:rsidP="00504B1D">
            <w:pPr>
              <w:spacing w:before="120" w:after="120"/>
              <w:rPr>
                <w:b/>
                <w:sz w:val="18"/>
                <w:szCs w:val="18"/>
              </w:rPr>
            </w:pPr>
            <w:r>
              <w:rPr>
                <w:b/>
                <w:sz w:val="18"/>
                <w:szCs w:val="18"/>
              </w:rPr>
              <w:t>1</w:t>
            </w:r>
          </w:p>
        </w:tc>
        <w:tc>
          <w:tcPr>
            <w:tcW w:w="1670" w:type="dxa"/>
            <w:shd w:val="clear" w:color="auto" w:fill="auto"/>
          </w:tcPr>
          <w:p w14:paraId="6FBB8BAD" w14:textId="77777777" w:rsidR="006B102C" w:rsidRPr="002F16E1" w:rsidRDefault="006B102C" w:rsidP="00504B1D">
            <w:pPr>
              <w:spacing w:before="120" w:after="120"/>
              <w:rPr>
                <w:b/>
                <w:sz w:val="18"/>
                <w:szCs w:val="18"/>
              </w:rPr>
            </w:pPr>
            <w:r>
              <w:rPr>
                <w:b/>
                <w:sz w:val="18"/>
                <w:szCs w:val="18"/>
              </w:rPr>
              <w:t>High</w:t>
            </w:r>
          </w:p>
        </w:tc>
        <w:tc>
          <w:tcPr>
            <w:tcW w:w="2673" w:type="dxa"/>
            <w:shd w:val="clear" w:color="auto" w:fill="auto"/>
          </w:tcPr>
          <w:p w14:paraId="08EA5520" w14:textId="77777777" w:rsidR="006B102C" w:rsidRPr="002F16E1" w:rsidRDefault="006B102C" w:rsidP="00504B1D">
            <w:pPr>
              <w:spacing w:before="120" w:after="120"/>
              <w:rPr>
                <w:b/>
                <w:sz w:val="18"/>
                <w:szCs w:val="18"/>
              </w:rPr>
            </w:pPr>
            <w:r>
              <w:rPr>
                <w:b/>
                <w:sz w:val="18"/>
                <w:szCs w:val="18"/>
              </w:rPr>
              <w:t>Systematic review and meta-analysis</w:t>
            </w:r>
          </w:p>
        </w:tc>
      </w:tr>
    </w:tbl>
    <w:p w14:paraId="41049D84" w14:textId="7EBA6BA9" w:rsidR="00D76272" w:rsidRDefault="00426597" w:rsidP="00D76272">
      <w:pPr>
        <w:spacing w:before="120" w:after="120"/>
        <w:rPr>
          <w:b/>
          <w:sz w:val="18"/>
          <w:szCs w:val="18"/>
        </w:rPr>
      </w:pPr>
      <w:r>
        <w:rPr>
          <w:b/>
          <w:sz w:val="18"/>
          <w:szCs w:val="18"/>
        </w:rPr>
        <w:t>*</w:t>
      </w:r>
      <w:r w:rsidRPr="00DE3201">
        <w:rPr>
          <w:bCs/>
          <w:sz w:val="18"/>
          <w:szCs w:val="18"/>
        </w:rPr>
        <w:t xml:space="preserve">Quality Assessment of Systematic Review and Meta-analyses link: </w:t>
      </w:r>
      <w:hyperlink r:id="rId5" w:history="1">
        <w:r w:rsidR="00DE3201" w:rsidRPr="00DE3201">
          <w:rPr>
            <w:rStyle w:val="Hyperlink"/>
            <w:bCs/>
            <w:sz w:val="18"/>
            <w:szCs w:val="18"/>
          </w:rPr>
          <w:t>https://documentcloud.adobe.com/link/track?uri=urn:aaid:scds:US:26fce90d-8851-469a-9fbe-ce7da5d59470</w:t>
        </w:r>
      </w:hyperlink>
      <w:r w:rsidR="00DE3201" w:rsidRPr="00DE3201">
        <w:rPr>
          <w:bCs/>
          <w:sz w:val="18"/>
          <w:szCs w:val="18"/>
        </w:rPr>
        <w:t xml:space="preserve">. </w:t>
      </w:r>
      <w:r w:rsidRPr="00DE3201">
        <w:rPr>
          <w:bCs/>
          <w:sz w:val="18"/>
          <w:szCs w:val="18"/>
        </w:rPr>
        <w:t>This assessment was developed by the</w:t>
      </w:r>
      <w:r w:rsidR="00DE3201" w:rsidRPr="00DE3201">
        <w:rPr>
          <w:bCs/>
          <w:sz w:val="18"/>
          <w:szCs w:val="18"/>
        </w:rPr>
        <w:t xml:space="preserve"> National Heart, Lung, and Blood Institute of the NIH.</w:t>
      </w:r>
      <w:r w:rsidRPr="00DE3201">
        <w:rPr>
          <w:bCs/>
          <w:sz w:val="18"/>
          <w:szCs w:val="18"/>
        </w:rPr>
        <w:t xml:space="preserve"> </w:t>
      </w:r>
      <w:r w:rsidR="00DE3201" w:rsidRPr="00DE3201">
        <w:rPr>
          <w:bCs/>
          <w:sz w:val="18"/>
          <w:szCs w:val="18"/>
        </w:rPr>
        <w:t>It includes</w:t>
      </w:r>
      <w:r w:rsidRPr="00DE3201">
        <w:rPr>
          <w:bCs/>
          <w:sz w:val="18"/>
          <w:szCs w:val="18"/>
        </w:rPr>
        <w:t xml:space="preserve"> 7 criteria questions for systematic reviews and 8 criteria questions for systematic reviews that include a meta-analysis.</w:t>
      </w:r>
      <w:r>
        <w:rPr>
          <w:b/>
          <w:sz w:val="18"/>
          <w:szCs w:val="18"/>
        </w:rPr>
        <w:t xml:space="preserve"> </w:t>
      </w:r>
    </w:p>
    <w:p w14:paraId="3D9868E8" w14:textId="77777777" w:rsidR="008D7E09" w:rsidRDefault="008D7E09" w:rsidP="001C5A94">
      <w:pPr>
        <w:spacing w:before="120" w:after="120"/>
        <w:rPr>
          <w:b/>
          <w:sz w:val="18"/>
          <w:szCs w:val="18"/>
        </w:rPr>
      </w:pPr>
    </w:p>
    <w:p w14:paraId="074BF90A" w14:textId="77777777" w:rsidR="008D7E09" w:rsidRDefault="008D7E09" w:rsidP="001C5A94">
      <w:pPr>
        <w:spacing w:before="120" w:after="120"/>
        <w:rPr>
          <w:b/>
          <w:sz w:val="18"/>
          <w:szCs w:val="18"/>
        </w:rPr>
      </w:pPr>
    </w:p>
    <w:p w14:paraId="23E244DD" w14:textId="77777777" w:rsidR="008D7E09" w:rsidRDefault="008D7E09" w:rsidP="001C5A94">
      <w:pPr>
        <w:spacing w:before="120" w:after="120"/>
        <w:rPr>
          <w:b/>
          <w:sz w:val="18"/>
          <w:szCs w:val="18"/>
        </w:rPr>
      </w:pPr>
    </w:p>
    <w:p w14:paraId="691BB19C" w14:textId="089DAC29" w:rsidR="001C5A94" w:rsidRDefault="001403EC" w:rsidP="001C5A94">
      <w:pPr>
        <w:spacing w:before="120" w:after="120"/>
        <w:rPr>
          <w:b/>
          <w:sz w:val="18"/>
          <w:szCs w:val="18"/>
        </w:rPr>
      </w:pPr>
      <w:r w:rsidRPr="00B75AAB">
        <w:rPr>
          <w:b/>
          <w:sz w:val="18"/>
          <w:szCs w:val="18"/>
        </w:rPr>
        <w:lastRenderedPageBreak/>
        <w:t>BEST EVIDENCE</w:t>
      </w:r>
    </w:p>
    <w:p w14:paraId="667993A6" w14:textId="725EA31D" w:rsidR="001D4F60" w:rsidRDefault="001D4F60" w:rsidP="001D4F60">
      <w:pPr>
        <w:spacing w:before="120" w:after="120"/>
        <w:rPr>
          <w:sz w:val="18"/>
          <w:szCs w:val="18"/>
        </w:rPr>
      </w:pPr>
      <w:r w:rsidRPr="00B75AAB">
        <w:rPr>
          <w:sz w:val="18"/>
          <w:szCs w:val="18"/>
        </w:rPr>
        <w:t xml:space="preserve">The following </w:t>
      </w:r>
      <w:r w:rsidR="0000738B">
        <w:rPr>
          <w:sz w:val="18"/>
          <w:szCs w:val="18"/>
        </w:rPr>
        <w:t>2</w:t>
      </w:r>
      <w:r>
        <w:rPr>
          <w:sz w:val="18"/>
          <w:szCs w:val="18"/>
        </w:rPr>
        <w:t xml:space="preserve">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w:t>
      </w:r>
      <w:r w:rsidR="0000738B">
        <w:rPr>
          <w:sz w:val="18"/>
          <w:szCs w:val="18"/>
        </w:rPr>
        <w:t>Rationale</w:t>
      </w:r>
      <w:r w:rsidRPr="00B75AAB">
        <w:rPr>
          <w:sz w:val="18"/>
          <w:szCs w:val="18"/>
        </w:rPr>
        <w:t xml:space="preserve"> for selecting </w:t>
      </w:r>
      <w:r>
        <w:rPr>
          <w:sz w:val="18"/>
          <w:szCs w:val="18"/>
        </w:rPr>
        <w:t>these studies</w:t>
      </w:r>
      <w:r w:rsidRPr="00B75AAB">
        <w:rPr>
          <w:sz w:val="18"/>
          <w:szCs w:val="18"/>
        </w:rPr>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458B8" w:rsidRPr="002F16E1" w14:paraId="33AEFA02" w14:textId="77777777" w:rsidTr="002F16E1">
        <w:tc>
          <w:tcPr>
            <w:tcW w:w="10421" w:type="dxa"/>
            <w:shd w:val="clear" w:color="auto" w:fill="auto"/>
          </w:tcPr>
          <w:p w14:paraId="20A2E438" w14:textId="7D32E289" w:rsidR="00DE3201" w:rsidRDefault="00890872" w:rsidP="00890872">
            <w:pPr>
              <w:pStyle w:val="ListParagraph"/>
              <w:numPr>
                <w:ilvl w:val="0"/>
                <w:numId w:val="16"/>
              </w:numPr>
              <w:spacing w:before="120" w:after="120"/>
              <w:rPr>
                <w:bCs/>
              </w:rPr>
            </w:pPr>
            <w:r w:rsidRPr="00890872">
              <w:rPr>
                <w:color w:val="000000"/>
                <w:lang w:val="en-US"/>
              </w:rPr>
              <w:t>The systematic review and meta-analysis by Wood and Hendrick was chosen because it was rated as a high-quality student by the NIH’s quality assessment and included a meta-analysis. It was the only systematic review that included a meta-analysis, which increases the number of observations and the statistical power of the data.</w:t>
            </w:r>
            <w:r w:rsidR="00DE3201" w:rsidRPr="00890872">
              <w:rPr>
                <w:b/>
              </w:rPr>
              <w:t xml:space="preserve"> </w:t>
            </w:r>
            <w:r>
              <w:rPr>
                <w:bCs/>
              </w:rPr>
              <w:t xml:space="preserve">It was highly relevant to the clinical scenario as all the RCTs included in the review used PNE as part of the intervention for patients with chronic low back pain. </w:t>
            </w:r>
          </w:p>
          <w:p w14:paraId="2429A7D1" w14:textId="33D8D914" w:rsidR="006E21DE" w:rsidRPr="00890872" w:rsidRDefault="006E21DE" w:rsidP="00890872">
            <w:pPr>
              <w:pStyle w:val="ListParagraph"/>
              <w:numPr>
                <w:ilvl w:val="0"/>
                <w:numId w:val="16"/>
              </w:numPr>
              <w:spacing w:before="120" w:after="120"/>
              <w:rPr>
                <w:bCs/>
              </w:rPr>
            </w:pPr>
            <w:r>
              <w:rPr>
                <w:bCs/>
              </w:rPr>
              <w:t xml:space="preserve">The </w:t>
            </w:r>
            <w:proofErr w:type="spellStart"/>
            <w:r>
              <w:rPr>
                <w:bCs/>
              </w:rPr>
              <w:t>Mafliet</w:t>
            </w:r>
            <w:proofErr w:type="spellEnd"/>
            <w:r>
              <w:rPr>
                <w:bCs/>
              </w:rPr>
              <w:t xml:space="preserve"> et al RCT that utilized blended learning was chosen because it was the highest quality RCT based on multiple risk of bias assessments</w:t>
            </w:r>
            <w:r w:rsidR="002509DF">
              <w:rPr>
                <w:bCs/>
              </w:rPr>
              <w:t xml:space="preserve"> and the only one that used blended learning. It had a larger sample size compared to other RCTs </w:t>
            </w:r>
            <w:proofErr w:type="gramStart"/>
            <w:r w:rsidR="002509DF">
              <w:rPr>
                <w:bCs/>
              </w:rPr>
              <w:t>and also</w:t>
            </w:r>
            <w:proofErr w:type="gramEnd"/>
            <w:r w:rsidR="002509DF">
              <w:rPr>
                <w:bCs/>
              </w:rPr>
              <w:t xml:space="preserve"> assessed the effect of PNE on fear of movement as well as disability. </w:t>
            </w:r>
          </w:p>
          <w:p w14:paraId="7697AC04" w14:textId="77777777" w:rsidR="005458B8" w:rsidRPr="002F16E1" w:rsidRDefault="005458B8" w:rsidP="00890872">
            <w:pPr>
              <w:spacing w:before="120" w:after="120"/>
              <w:ind w:left="360"/>
              <w:rPr>
                <w:b/>
                <w:sz w:val="18"/>
                <w:szCs w:val="18"/>
              </w:rPr>
            </w:pPr>
          </w:p>
        </w:tc>
      </w:tr>
    </w:tbl>
    <w:p w14:paraId="5AB9EF93" w14:textId="77777777" w:rsidR="0011199B" w:rsidRDefault="001403EC" w:rsidP="0011199B">
      <w:pPr>
        <w:spacing w:before="120" w:after="120"/>
        <w:rPr>
          <w:b/>
          <w:sz w:val="18"/>
          <w:szCs w:val="18"/>
        </w:rPr>
      </w:pPr>
      <w:r w:rsidRPr="00B75AAB">
        <w:rPr>
          <w:b/>
          <w:sz w:val="18"/>
          <w:szCs w:val="18"/>
        </w:rPr>
        <w:t>SUMMARY OF BEST EVIDENCE</w:t>
      </w:r>
    </w:p>
    <w:p w14:paraId="2A28B3DE" w14:textId="0D6BA993" w:rsidR="001403EC" w:rsidRDefault="001D4F60" w:rsidP="001D4F60">
      <w:pPr>
        <w:spacing w:before="240" w:after="240"/>
        <w:rPr>
          <w:b/>
          <w:sz w:val="18"/>
          <w:szCs w:val="18"/>
        </w:rPr>
      </w:pPr>
      <w:r>
        <w:rPr>
          <w:b/>
          <w:sz w:val="18"/>
          <w:szCs w:val="18"/>
        </w:rPr>
        <w:t xml:space="preserve">(1) </w:t>
      </w:r>
      <w:r w:rsidR="001403EC" w:rsidRPr="001D4F60">
        <w:rPr>
          <w:b/>
          <w:sz w:val="18"/>
          <w:szCs w:val="18"/>
        </w:rPr>
        <w:t xml:space="preserve">Description and appraisal of </w:t>
      </w:r>
      <w:r w:rsidR="002A42AC" w:rsidRPr="002A42AC">
        <w:rPr>
          <w:b/>
          <w:sz w:val="18"/>
          <w:szCs w:val="18"/>
        </w:rPr>
        <w:t>A systematic review and meta-analysis of pain neuroscience education for chronic low back pain: Short-and long-term outcomes of pain and disability</w:t>
      </w:r>
      <w:r w:rsidR="002A42AC">
        <w:rPr>
          <w:b/>
          <w:sz w:val="18"/>
          <w:szCs w:val="18"/>
        </w:rPr>
        <w:t xml:space="preserve"> </w:t>
      </w:r>
      <w:r w:rsidR="001E5719" w:rsidRPr="001D4F60">
        <w:rPr>
          <w:b/>
          <w:sz w:val="18"/>
          <w:szCs w:val="18"/>
        </w:rPr>
        <w:t xml:space="preserve">by </w:t>
      </w:r>
      <w:r w:rsidR="001403EC" w:rsidRPr="001D4F60">
        <w:rPr>
          <w:b/>
          <w:sz w:val="18"/>
          <w:szCs w:val="18"/>
        </w:rPr>
        <w:t>(</w:t>
      </w:r>
      <w:r w:rsidR="002A42AC">
        <w:rPr>
          <w:b/>
          <w:sz w:val="18"/>
          <w:szCs w:val="18"/>
        </w:rPr>
        <w:t>Wood and Hendrick</w:t>
      </w:r>
      <w:r w:rsidR="001403EC" w:rsidRPr="001D4F60">
        <w:rPr>
          <w:b/>
          <w:sz w:val="18"/>
          <w:szCs w:val="18"/>
        </w:rPr>
        <w:t xml:space="preserve">, </w:t>
      </w:r>
      <w:r w:rsidR="002A42AC">
        <w:rPr>
          <w:b/>
          <w:sz w:val="18"/>
          <w:szCs w:val="18"/>
        </w:rPr>
        <w:t>2018</w:t>
      </w:r>
      <w:r w:rsidR="001403EC" w:rsidRPr="001D4F60">
        <w:rPr>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D4F60" w:rsidRPr="002F16E1" w14:paraId="05BDC61B" w14:textId="77777777" w:rsidTr="001D4F60">
        <w:tc>
          <w:tcPr>
            <w:tcW w:w="10421" w:type="dxa"/>
            <w:shd w:val="clear" w:color="auto" w:fill="E6E6E6"/>
          </w:tcPr>
          <w:p w14:paraId="768920D7"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7497B7E0" w14:textId="77777777" w:rsidTr="001D4F60">
        <w:tc>
          <w:tcPr>
            <w:tcW w:w="10421" w:type="dxa"/>
            <w:tcBorders>
              <w:bottom w:val="single" w:sz="4" w:space="0" w:color="auto"/>
            </w:tcBorders>
            <w:shd w:val="clear" w:color="auto" w:fill="auto"/>
          </w:tcPr>
          <w:p w14:paraId="010D4188" w14:textId="311763F1" w:rsidR="001D4F60" w:rsidRPr="00727256" w:rsidRDefault="00EF74FB" w:rsidP="00727256">
            <w:pPr>
              <w:spacing w:before="120" w:after="120"/>
              <w:rPr>
                <w:sz w:val="18"/>
                <w:szCs w:val="18"/>
                <w:lang w:val="en-US" w:eastAsia="zh-CN"/>
              </w:rPr>
            </w:pPr>
            <w:r>
              <w:rPr>
                <w:sz w:val="18"/>
                <w:szCs w:val="18"/>
              </w:rPr>
              <w:t xml:space="preserve">The objective of the systematic review and meta-analysis by Wood and Hendrick was </w:t>
            </w:r>
            <w:r w:rsidR="00E8234C">
              <w:rPr>
                <w:sz w:val="18"/>
                <w:szCs w:val="18"/>
              </w:rPr>
              <w:t xml:space="preserve">to find the effectiveness of pain science neuroscience </w:t>
            </w:r>
            <w:r w:rsidR="00C009FD">
              <w:rPr>
                <w:sz w:val="18"/>
                <w:szCs w:val="18"/>
              </w:rPr>
              <w:t>i</w:t>
            </w:r>
            <w:r w:rsidR="00727256">
              <w:rPr>
                <w:sz w:val="18"/>
                <w:szCs w:val="18"/>
              </w:rPr>
              <w:t>n treating low back pain in the short and long term.</w:t>
            </w:r>
          </w:p>
        </w:tc>
      </w:tr>
      <w:tr w:rsidR="001D4F60" w:rsidRPr="002F16E1" w14:paraId="1EA056D6" w14:textId="77777777" w:rsidTr="001D4F60">
        <w:tc>
          <w:tcPr>
            <w:tcW w:w="10421" w:type="dxa"/>
            <w:shd w:val="clear" w:color="auto" w:fill="E6E6E6"/>
          </w:tcPr>
          <w:p w14:paraId="7B75F26D" w14:textId="77777777" w:rsidR="001D4F60" w:rsidRPr="002F16E1" w:rsidRDefault="001D4F60" w:rsidP="009E380F">
            <w:pPr>
              <w:spacing w:before="120" w:after="120"/>
              <w:jc w:val="both"/>
              <w:rPr>
                <w:b/>
                <w:sz w:val="18"/>
                <w:szCs w:val="18"/>
              </w:rPr>
            </w:pPr>
            <w:r w:rsidRPr="002F16E1">
              <w:rPr>
                <w:b/>
                <w:sz w:val="18"/>
                <w:szCs w:val="18"/>
              </w:rPr>
              <w:t>Study Design</w:t>
            </w:r>
          </w:p>
          <w:p w14:paraId="76E2341C" w14:textId="7DA16B6D" w:rsidR="001D4F60" w:rsidRPr="002F16E1" w:rsidRDefault="001D4F60" w:rsidP="009E380F">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w:t>
            </w:r>
            <w:r w:rsidR="004C0648">
              <w:rPr>
                <w:sz w:val="18"/>
                <w:szCs w:val="18"/>
              </w:rPr>
              <w:t xml:space="preserve"> </w:t>
            </w:r>
            <w:r w:rsidRPr="002F16E1">
              <w:rPr>
                <w:sz w:val="18"/>
                <w:szCs w:val="18"/>
              </w:rPr>
              <w:t>Includes information about study characteristics such as blinding and allocation concealment. When were outcomes measured, if relevant]</w:t>
            </w:r>
          </w:p>
          <w:p w14:paraId="5EF60165" w14:textId="34A328BD"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14:paraId="2D9D4F48" w14:textId="77777777" w:rsidTr="001D4F60">
        <w:tc>
          <w:tcPr>
            <w:tcW w:w="10421" w:type="dxa"/>
            <w:tcBorders>
              <w:bottom w:val="single" w:sz="4" w:space="0" w:color="auto"/>
            </w:tcBorders>
            <w:shd w:val="clear" w:color="auto" w:fill="auto"/>
          </w:tcPr>
          <w:p w14:paraId="08300CBD" w14:textId="61BFAEC9" w:rsidR="001D4F60" w:rsidRDefault="002A42AC" w:rsidP="009E380F">
            <w:pPr>
              <w:spacing w:before="120" w:after="120"/>
              <w:rPr>
                <w:sz w:val="18"/>
                <w:szCs w:val="18"/>
              </w:rPr>
            </w:pPr>
            <w:r>
              <w:rPr>
                <w:sz w:val="18"/>
                <w:szCs w:val="18"/>
              </w:rPr>
              <w:t>Systematic review and meta-analysis</w:t>
            </w:r>
          </w:p>
          <w:p w14:paraId="11A1487D" w14:textId="24A55FE4" w:rsidR="002A42AC" w:rsidRDefault="002A42AC" w:rsidP="009E380F">
            <w:pPr>
              <w:spacing w:before="120" w:after="120"/>
              <w:rPr>
                <w:sz w:val="18"/>
                <w:szCs w:val="18"/>
              </w:rPr>
            </w:pPr>
            <w:r>
              <w:rPr>
                <w:sz w:val="18"/>
                <w:szCs w:val="18"/>
              </w:rPr>
              <w:t xml:space="preserve">Search strategy: </w:t>
            </w:r>
          </w:p>
          <w:p w14:paraId="775C729C" w14:textId="69C398B4" w:rsidR="00A342F0" w:rsidRDefault="00A342F0" w:rsidP="009E380F">
            <w:pPr>
              <w:spacing w:before="120" w:after="120"/>
              <w:rPr>
                <w:sz w:val="18"/>
                <w:szCs w:val="18"/>
              </w:rPr>
            </w:pPr>
            <w:r>
              <w:rPr>
                <w:sz w:val="18"/>
                <w:szCs w:val="18"/>
              </w:rPr>
              <w:t>-Databases: CINAHL, Medline, Cochrane, and Web of Science</w:t>
            </w:r>
          </w:p>
          <w:p w14:paraId="6FF83254" w14:textId="77777777" w:rsidR="00A342F0" w:rsidRPr="00A342F0" w:rsidRDefault="00A342F0" w:rsidP="00A342F0">
            <w:pPr>
              <w:autoSpaceDE w:val="0"/>
              <w:autoSpaceDN w:val="0"/>
              <w:adjustRightInd w:val="0"/>
              <w:rPr>
                <w:sz w:val="18"/>
                <w:szCs w:val="18"/>
                <w:lang w:val="en-US"/>
              </w:rPr>
            </w:pPr>
            <w:r>
              <w:rPr>
                <w:sz w:val="18"/>
                <w:szCs w:val="18"/>
              </w:rPr>
              <w:t xml:space="preserve">-Search terms: </w:t>
            </w:r>
            <w:r w:rsidRPr="00A342F0">
              <w:rPr>
                <w:sz w:val="18"/>
                <w:szCs w:val="18"/>
                <w:lang w:val="en-US"/>
              </w:rPr>
              <w:t>((“low* back” OR lumbar OR sciatic* OR</w:t>
            </w:r>
          </w:p>
          <w:p w14:paraId="1FAFB183" w14:textId="77777777" w:rsidR="00A342F0" w:rsidRPr="00A342F0" w:rsidRDefault="00A342F0" w:rsidP="00A342F0">
            <w:pPr>
              <w:autoSpaceDE w:val="0"/>
              <w:autoSpaceDN w:val="0"/>
              <w:adjustRightInd w:val="0"/>
              <w:rPr>
                <w:sz w:val="18"/>
                <w:szCs w:val="18"/>
                <w:lang w:val="en-US"/>
              </w:rPr>
            </w:pPr>
            <w:r w:rsidRPr="00A342F0">
              <w:rPr>
                <w:sz w:val="18"/>
                <w:szCs w:val="18"/>
                <w:lang w:val="en-US"/>
              </w:rPr>
              <w:t>“</w:t>
            </w:r>
            <w:proofErr w:type="gramStart"/>
            <w:r w:rsidRPr="00A342F0">
              <w:rPr>
                <w:sz w:val="18"/>
                <w:szCs w:val="18"/>
                <w:lang w:val="en-US"/>
              </w:rPr>
              <w:t>low</w:t>
            </w:r>
            <w:proofErr w:type="gramEnd"/>
            <w:r w:rsidRPr="00A342F0">
              <w:rPr>
                <w:sz w:val="18"/>
                <w:szCs w:val="18"/>
                <w:lang w:val="en-US"/>
              </w:rPr>
              <w:t xml:space="preserve"> back pain” OR “back pain” OR “back ache” OR</w:t>
            </w:r>
          </w:p>
          <w:p w14:paraId="32399EC5" w14:textId="77777777" w:rsidR="00A342F0" w:rsidRPr="00A342F0" w:rsidRDefault="00A342F0" w:rsidP="00A342F0">
            <w:pPr>
              <w:autoSpaceDE w:val="0"/>
              <w:autoSpaceDN w:val="0"/>
              <w:adjustRightInd w:val="0"/>
              <w:rPr>
                <w:sz w:val="18"/>
                <w:szCs w:val="18"/>
                <w:lang w:val="en-US"/>
              </w:rPr>
            </w:pPr>
            <w:r w:rsidRPr="00A342F0">
              <w:rPr>
                <w:sz w:val="18"/>
                <w:szCs w:val="18"/>
                <w:lang w:val="en-US"/>
              </w:rPr>
              <w:t>backache OR spinal OR spine) AND (education OR “pain</w:t>
            </w:r>
          </w:p>
          <w:p w14:paraId="678CBD89" w14:textId="77777777" w:rsidR="00A342F0" w:rsidRPr="00A342F0" w:rsidRDefault="00A342F0" w:rsidP="00A342F0">
            <w:pPr>
              <w:autoSpaceDE w:val="0"/>
              <w:autoSpaceDN w:val="0"/>
              <w:adjustRightInd w:val="0"/>
              <w:rPr>
                <w:sz w:val="18"/>
                <w:szCs w:val="18"/>
                <w:lang w:val="en-US"/>
              </w:rPr>
            </w:pPr>
            <w:r w:rsidRPr="00A342F0">
              <w:rPr>
                <w:sz w:val="18"/>
                <w:szCs w:val="18"/>
                <w:lang w:val="en-US"/>
              </w:rPr>
              <w:t>education” OR “neuroscience education” OR “pain biology</w:t>
            </w:r>
          </w:p>
          <w:p w14:paraId="1D502609" w14:textId="77777777" w:rsidR="00A342F0" w:rsidRPr="00A342F0" w:rsidRDefault="00A342F0" w:rsidP="00A342F0">
            <w:pPr>
              <w:autoSpaceDE w:val="0"/>
              <w:autoSpaceDN w:val="0"/>
              <w:adjustRightInd w:val="0"/>
              <w:rPr>
                <w:sz w:val="18"/>
                <w:szCs w:val="18"/>
                <w:lang w:val="en-US"/>
              </w:rPr>
            </w:pPr>
            <w:r w:rsidRPr="00A342F0">
              <w:rPr>
                <w:sz w:val="18"/>
                <w:szCs w:val="18"/>
                <w:lang w:val="en-US"/>
              </w:rPr>
              <w:t>education” OR “pain physiology education” OR “neurophysiology</w:t>
            </w:r>
          </w:p>
          <w:p w14:paraId="0FC61772" w14:textId="26CFE503" w:rsidR="00A342F0" w:rsidRPr="00A342F0" w:rsidRDefault="00A342F0" w:rsidP="00A342F0">
            <w:pPr>
              <w:spacing w:before="120" w:after="120"/>
              <w:rPr>
                <w:sz w:val="18"/>
                <w:szCs w:val="18"/>
              </w:rPr>
            </w:pPr>
            <w:r w:rsidRPr="00A342F0">
              <w:rPr>
                <w:sz w:val="18"/>
                <w:szCs w:val="18"/>
                <w:lang w:val="en-US"/>
              </w:rPr>
              <w:t>education”))</w:t>
            </w:r>
          </w:p>
          <w:p w14:paraId="01570C0A" w14:textId="328E5BAA" w:rsidR="002A42AC" w:rsidRDefault="002A42AC" w:rsidP="009E380F">
            <w:pPr>
              <w:spacing w:before="120" w:after="120"/>
              <w:rPr>
                <w:sz w:val="18"/>
                <w:szCs w:val="18"/>
              </w:rPr>
            </w:pPr>
            <w:r>
              <w:rPr>
                <w:sz w:val="18"/>
                <w:szCs w:val="18"/>
              </w:rPr>
              <w:t>Selection Criteria:</w:t>
            </w:r>
            <w:r w:rsidR="00A342F0">
              <w:rPr>
                <w:sz w:val="18"/>
                <w:szCs w:val="18"/>
              </w:rPr>
              <w:t xml:space="preserve"> </w:t>
            </w:r>
          </w:p>
          <w:p w14:paraId="422FACFE" w14:textId="77777777" w:rsidR="003C37A6" w:rsidRDefault="00A342F0" w:rsidP="009E380F">
            <w:pPr>
              <w:spacing w:before="120" w:after="120"/>
              <w:rPr>
                <w:sz w:val="18"/>
                <w:szCs w:val="18"/>
              </w:rPr>
            </w:pPr>
            <w:r>
              <w:rPr>
                <w:sz w:val="18"/>
                <w:szCs w:val="18"/>
              </w:rPr>
              <w:t xml:space="preserve">-Inclusion criteria: </w:t>
            </w:r>
          </w:p>
          <w:p w14:paraId="30EE7BF8" w14:textId="77777777" w:rsidR="003C37A6" w:rsidRDefault="00A342F0" w:rsidP="003C37A6">
            <w:pPr>
              <w:pStyle w:val="ListParagraph"/>
              <w:numPr>
                <w:ilvl w:val="0"/>
                <w:numId w:val="14"/>
              </w:numPr>
              <w:spacing w:before="120" w:after="120"/>
              <w:rPr>
                <w:sz w:val="18"/>
                <w:szCs w:val="18"/>
              </w:rPr>
            </w:pPr>
            <w:r w:rsidRPr="003C37A6">
              <w:rPr>
                <w:sz w:val="18"/>
                <w:szCs w:val="18"/>
              </w:rPr>
              <w:t xml:space="preserve">RCTs from 2011-2017, </w:t>
            </w:r>
          </w:p>
          <w:p w14:paraId="7E65A51B" w14:textId="33A4ED8D" w:rsidR="00A342F0" w:rsidRDefault="003C37A6" w:rsidP="003C37A6">
            <w:pPr>
              <w:pStyle w:val="ListParagraph"/>
              <w:numPr>
                <w:ilvl w:val="0"/>
                <w:numId w:val="14"/>
              </w:numPr>
              <w:spacing w:before="120" w:after="120"/>
              <w:rPr>
                <w:sz w:val="18"/>
                <w:szCs w:val="18"/>
              </w:rPr>
            </w:pPr>
            <w:r>
              <w:rPr>
                <w:sz w:val="18"/>
                <w:szCs w:val="18"/>
              </w:rPr>
              <w:t xml:space="preserve">Participant characteristics: </w:t>
            </w:r>
            <w:r w:rsidRPr="003C37A6">
              <w:rPr>
                <w:sz w:val="18"/>
                <w:szCs w:val="18"/>
              </w:rPr>
              <w:t>adult populations (&gt;18 years old), chronic non-specific back pain for at least 3 months</w:t>
            </w:r>
          </w:p>
          <w:p w14:paraId="378369EB" w14:textId="5113EF5B" w:rsidR="003C37A6" w:rsidRPr="003C37A6" w:rsidRDefault="003C37A6" w:rsidP="003C37A6">
            <w:pPr>
              <w:pStyle w:val="ListParagraph"/>
              <w:numPr>
                <w:ilvl w:val="0"/>
                <w:numId w:val="14"/>
              </w:numPr>
              <w:spacing w:before="120" w:after="120"/>
              <w:rPr>
                <w:sz w:val="18"/>
                <w:szCs w:val="18"/>
              </w:rPr>
            </w:pPr>
            <w:r>
              <w:rPr>
                <w:sz w:val="18"/>
                <w:szCs w:val="18"/>
              </w:rPr>
              <w:t>Intervention: Pain neuroscience education or therapeutic neuroscience education, PNE could be used in conjunction with another PT treatment including therapeutic exercise, manual therapy, acupuncture, or dry needling</w:t>
            </w:r>
          </w:p>
          <w:p w14:paraId="3F25CC36" w14:textId="2836A907" w:rsidR="003C37A6" w:rsidRDefault="003C37A6" w:rsidP="009E380F">
            <w:pPr>
              <w:spacing w:before="120" w:after="120"/>
              <w:rPr>
                <w:sz w:val="18"/>
                <w:szCs w:val="18"/>
              </w:rPr>
            </w:pPr>
            <w:r>
              <w:rPr>
                <w:sz w:val="18"/>
                <w:szCs w:val="18"/>
              </w:rPr>
              <w:t>-Exclusion</w:t>
            </w:r>
            <w:r w:rsidR="00EF74FB">
              <w:rPr>
                <w:sz w:val="18"/>
                <w:szCs w:val="18"/>
              </w:rPr>
              <w:t xml:space="preserve"> Criteria</w:t>
            </w:r>
            <w:r>
              <w:rPr>
                <w:sz w:val="18"/>
                <w:szCs w:val="18"/>
              </w:rPr>
              <w:t xml:space="preserve">: </w:t>
            </w:r>
          </w:p>
          <w:p w14:paraId="4891FC13" w14:textId="04D26435" w:rsidR="003C37A6" w:rsidRDefault="003C37A6" w:rsidP="003C37A6">
            <w:pPr>
              <w:pStyle w:val="ListParagraph"/>
              <w:numPr>
                <w:ilvl w:val="0"/>
                <w:numId w:val="13"/>
              </w:numPr>
              <w:spacing w:before="120" w:after="120"/>
              <w:rPr>
                <w:sz w:val="18"/>
                <w:szCs w:val="18"/>
              </w:rPr>
            </w:pPr>
            <w:r w:rsidRPr="003C37A6">
              <w:rPr>
                <w:sz w:val="18"/>
                <w:szCs w:val="18"/>
              </w:rPr>
              <w:t>Diagnoses excluded:</w:t>
            </w:r>
            <w:r>
              <w:rPr>
                <w:sz w:val="18"/>
                <w:szCs w:val="18"/>
              </w:rPr>
              <w:t xml:space="preserve"> </w:t>
            </w:r>
            <w:r w:rsidRPr="003C37A6">
              <w:rPr>
                <w:sz w:val="18"/>
                <w:szCs w:val="18"/>
              </w:rPr>
              <w:t>cauda</w:t>
            </w:r>
            <w:r>
              <w:rPr>
                <w:sz w:val="18"/>
                <w:szCs w:val="18"/>
              </w:rPr>
              <w:t xml:space="preserve"> </w:t>
            </w:r>
            <w:r w:rsidRPr="003C37A6">
              <w:rPr>
                <w:sz w:val="18"/>
                <w:szCs w:val="18"/>
              </w:rPr>
              <w:t xml:space="preserve">equina, spinal tumours, spinal fractures, </w:t>
            </w:r>
            <w:proofErr w:type="spellStart"/>
            <w:r w:rsidRPr="003C37A6">
              <w:rPr>
                <w:sz w:val="18"/>
                <w:szCs w:val="18"/>
              </w:rPr>
              <w:t>spondyloarthopathies</w:t>
            </w:r>
            <w:proofErr w:type="spellEnd"/>
            <w:r>
              <w:rPr>
                <w:sz w:val="18"/>
                <w:szCs w:val="18"/>
              </w:rPr>
              <w:t>, multiple areas with chronic pain, and systematic pain conditions (</w:t>
            </w:r>
            <w:r w:rsidRPr="003C37A6">
              <w:rPr>
                <w:sz w:val="18"/>
                <w:szCs w:val="18"/>
              </w:rPr>
              <w:t>fibromyalgia,</w:t>
            </w:r>
            <w:r>
              <w:rPr>
                <w:sz w:val="18"/>
                <w:szCs w:val="18"/>
              </w:rPr>
              <w:t xml:space="preserve"> </w:t>
            </w:r>
            <w:r w:rsidRPr="003C37A6">
              <w:rPr>
                <w:sz w:val="18"/>
                <w:szCs w:val="18"/>
              </w:rPr>
              <w:t>chronic fatigue, rheumatoid arthritis, polymyalgia rheumatica</w:t>
            </w:r>
            <w:r>
              <w:rPr>
                <w:sz w:val="18"/>
                <w:szCs w:val="18"/>
              </w:rPr>
              <w:t>)</w:t>
            </w:r>
          </w:p>
          <w:p w14:paraId="165AF92F" w14:textId="7212919F" w:rsidR="003C37A6" w:rsidRPr="003C37A6" w:rsidRDefault="003C37A6" w:rsidP="003C37A6">
            <w:pPr>
              <w:pStyle w:val="ListParagraph"/>
              <w:numPr>
                <w:ilvl w:val="0"/>
                <w:numId w:val="13"/>
              </w:numPr>
              <w:spacing w:before="120" w:after="120"/>
              <w:rPr>
                <w:sz w:val="18"/>
                <w:szCs w:val="18"/>
              </w:rPr>
            </w:pPr>
            <w:r>
              <w:rPr>
                <w:sz w:val="18"/>
                <w:szCs w:val="18"/>
              </w:rPr>
              <w:t>Control group included PNE</w:t>
            </w:r>
          </w:p>
          <w:p w14:paraId="699DF3F4" w14:textId="1A5F588F" w:rsidR="001D4F60" w:rsidRDefault="002A42AC" w:rsidP="009E380F">
            <w:pPr>
              <w:spacing w:before="120" w:after="120"/>
              <w:rPr>
                <w:sz w:val="18"/>
                <w:szCs w:val="18"/>
              </w:rPr>
            </w:pPr>
            <w:r>
              <w:rPr>
                <w:sz w:val="18"/>
                <w:szCs w:val="18"/>
              </w:rPr>
              <w:t>Methods:</w:t>
            </w:r>
          </w:p>
          <w:p w14:paraId="6A5550EA" w14:textId="53FF43BD" w:rsidR="00EF74FB" w:rsidRDefault="00EF74FB" w:rsidP="00EF74FB">
            <w:pPr>
              <w:spacing w:before="120" w:after="120"/>
              <w:rPr>
                <w:sz w:val="18"/>
                <w:szCs w:val="18"/>
              </w:rPr>
            </w:pPr>
            <w:r>
              <w:rPr>
                <w:sz w:val="18"/>
                <w:szCs w:val="18"/>
              </w:rPr>
              <w:t>-Selection of articles: lead author did preliminary elimination and remaining articles were reviewed and approved by both authors</w:t>
            </w:r>
          </w:p>
          <w:p w14:paraId="02D68D78" w14:textId="149A137B" w:rsidR="00EF74FB" w:rsidRDefault="00EF74FB" w:rsidP="00EF74FB">
            <w:pPr>
              <w:spacing w:before="120" w:after="120"/>
              <w:rPr>
                <w:sz w:val="18"/>
                <w:szCs w:val="18"/>
              </w:rPr>
            </w:pPr>
            <w:r>
              <w:rPr>
                <w:sz w:val="18"/>
                <w:szCs w:val="18"/>
              </w:rPr>
              <w:lastRenderedPageBreak/>
              <w:t>-Cochrane Risk of Bias was used for quality assessment of RCTs (&gt;6/12 score= low risk of bias)</w:t>
            </w:r>
          </w:p>
          <w:p w14:paraId="75EA227B" w14:textId="37F2895E" w:rsidR="00EF74FB" w:rsidRDefault="00EF74FB" w:rsidP="00EF74FB">
            <w:pPr>
              <w:spacing w:before="120" w:after="120"/>
              <w:rPr>
                <w:sz w:val="18"/>
                <w:szCs w:val="18"/>
              </w:rPr>
            </w:pPr>
            <w:r>
              <w:rPr>
                <w:sz w:val="18"/>
                <w:szCs w:val="18"/>
              </w:rPr>
              <w:t xml:space="preserve">-Meta-analysis software: </w:t>
            </w:r>
            <w:proofErr w:type="spellStart"/>
            <w:r>
              <w:rPr>
                <w:sz w:val="18"/>
                <w:szCs w:val="18"/>
              </w:rPr>
              <w:t>RevMan</w:t>
            </w:r>
            <w:proofErr w:type="spellEnd"/>
            <w:r>
              <w:rPr>
                <w:sz w:val="18"/>
                <w:szCs w:val="18"/>
              </w:rPr>
              <w:t xml:space="preserve"> 5.1</w:t>
            </w:r>
          </w:p>
          <w:p w14:paraId="6E8CA8FF" w14:textId="52B546B1" w:rsidR="00EF74FB" w:rsidRDefault="00EF74FB" w:rsidP="00EF74FB">
            <w:pPr>
              <w:spacing w:before="120" w:after="120"/>
              <w:rPr>
                <w:sz w:val="18"/>
                <w:szCs w:val="18"/>
              </w:rPr>
            </w:pPr>
            <w:r>
              <w:rPr>
                <w:sz w:val="18"/>
                <w:szCs w:val="18"/>
              </w:rPr>
              <w:t>-Both short term (6 weeks-12 weeks) and long term (&gt;12 weeks) results were assessed</w:t>
            </w:r>
          </w:p>
          <w:p w14:paraId="56D52A95" w14:textId="660E1E36" w:rsidR="00EF74FB" w:rsidRPr="002F16E1" w:rsidRDefault="00EF74FB" w:rsidP="009E380F">
            <w:pPr>
              <w:spacing w:before="120" w:after="120"/>
              <w:rPr>
                <w:sz w:val="18"/>
                <w:szCs w:val="18"/>
              </w:rPr>
            </w:pPr>
          </w:p>
          <w:p w14:paraId="6BA4D571" w14:textId="77777777" w:rsidR="001D4F60" w:rsidRPr="002F16E1" w:rsidRDefault="001D4F60" w:rsidP="009E380F">
            <w:pPr>
              <w:spacing w:before="120" w:after="120"/>
              <w:jc w:val="right"/>
              <w:rPr>
                <w:sz w:val="18"/>
                <w:szCs w:val="18"/>
              </w:rPr>
            </w:pPr>
          </w:p>
        </w:tc>
      </w:tr>
      <w:tr w:rsidR="001D4F60" w:rsidRPr="002F16E1" w14:paraId="04325605" w14:textId="77777777" w:rsidTr="001D4F60">
        <w:tc>
          <w:tcPr>
            <w:tcW w:w="10421" w:type="dxa"/>
            <w:shd w:val="clear" w:color="auto" w:fill="E6E6E6"/>
          </w:tcPr>
          <w:p w14:paraId="06F7411F" w14:textId="77777777" w:rsidR="001D4F60" w:rsidRPr="002F16E1" w:rsidRDefault="001D4F60" w:rsidP="009E380F">
            <w:pPr>
              <w:spacing w:before="120" w:after="120"/>
              <w:rPr>
                <w:b/>
                <w:sz w:val="18"/>
                <w:szCs w:val="18"/>
              </w:rPr>
            </w:pPr>
            <w:r w:rsidRPr="002F16E1">
              <w:rPr>
                <w:b/>
                <w:sz w:val="18"/>
                <w:szCs w:val="18"/>
              </w:rPr>
              <w:lastRenderedPageBreak/>
              <w:t>Setting</w:t>
            </w:r>
          </w:p>
          <w:p w14:paraId="5689EC12" w14:textId="77777777" w:rsidR="001D4F60" w:rsidRPr="002F16E1" w:rsidRDefault="001D4F60" w:rsidP="009E380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14:paraId="53798A0C" w14:textId="77777777" w:rsidTr="001D4F60">
        <w:tc>
          <w:tcPr>
            <w:tcW w:w="10421" w:type="dxa"/>
            <w:tcBorders>
              <w:bottom w:val="single" w:sz="4" w:space="0" w:color="auto"/>
            </w:tcBorders>
            <w:shd w:val="clear" w:color="auto" w:fill="auto"/>
          </w:tcPr>
          <w:p w14:paraId="3FE87266" w14:textId="430F222F" w:rsidR="001D4F60" w:rsidRPr="002F16E1" w:rsidRDefault="00727256" w:rsidP="00727256">
            <w:pPr>
              <w:spacing w:before="120" w:after="120"/>
              <w:rPr>
                <w:sz w:val="18"/>
                <w:szCs w:val="18"/>
              </w:rPr>
            </w:pPr>
            <w:r>
              <w:rPr>
                <w:sz w:val="18"/>
                <w:szCs w:val="18"/>
              </w:rPr>
              <w:t>Setting varied from study to study, but patients were from outpatient clinics regardless of study location</w:t>
            </w:r>
          </w:p>
        </w:tc>
      </w:tr>
      <w:tr w:rsidR="001D4F60" w:rsidRPr="002F16E1" w14:paraId="39836081" w14:textId="77777777" w:rsidTr="001D4F60">
        <w:tc>
          <w:tcPr>
            <w:tcW w:w="10421" w:type="dxa"/>
            <w:shd w:val="clear" w:color="auto" w:fill="E6E6E6"/>
          </w:tcPr>
          <w:p w14:paraId="78B1C3C6" w14:textId="77777777" w:rsidR="001D4F60" w:rsidRPr="002F16E1" w:rsidRDefault="001D4F60" w:rsidP="009E380F">
            <w:pPr>
              <w:spacing w:before="120" w:after="120"/>
              <w:rPr>
                <w:b/>
                <w:sz w:val="18"/>
                <w:szCs w:val="18"/>
              </w:rPr>
            </w:pPr>
            <w:r w:rsidRPr="002F16E1">
              <w:rPr>
                <w:b/>
                <w:sz w:val="18"/>
                <w:szCs w:val="18"/>
              </w:rPr>
              <w:t>Participants</w:t>
            </w:r>
          </w:p>
          <w:p w14:paraId="56B085D4" w14:textId="77777777"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4D0AFC71" w14:textId="4922CEE4"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14:paraId="7236FBF9" w14:textId="77777777" w:rsidTr="001D4F60">
        <w:tc>
          <w:tcPr>
            <w:tcW w:w="10421" w:type="dxa"/>
            <w:tcBorders>
              <w:bottom w:val="single" w:sz="4" w:space="0" w:color="auto"/>
            </w:tcBorders>
            <w:shd w:val="clear" w:color="auto" w:fill="auto"/>
          </w:tcPr>
          <w:p w14:paraId="5D96CD68" w14:textId="0C8F2084" w:rsidR="001D4F60" w:rsidRPr="002F16E1" w:rsidRDefault="004A4C4D" w:rsidP="009E380F">
            <w:pPr>
              <w:spacing w:before="120" w:after="120"/>
              <w:rPr>
                <w:sz w:val="18"/>
                <w:szCs w:val="18"/>
              </w:rPr>
            </w:pPr>
            <w:r>
              <w:rPr>
                <w:sz w:val="18"/>
                <w:szCs w:val="18"/>
              </w:rPr>
              <w:t>6,761 articles were found through the initial search strategy and after</w:t>
            </w:r>
            <w:r w:rsidR="007805AD">
              <w:rPr>
                <w:sz w:val="18"/>
                <w:szCs w:val="18"/>
              </w:rPr>
              <w:t xml:space="preserve"> removing duplicates and</w:t>
            </w:r>
            <w:r>
              <w:rPr>
                <w:sz w:val="18"/>
                <w:szCs w:val="18"/>
              </w:rPr>
              <w:t xml:space="preserve"> screening titles and abstract </w:t>
            </w:r>
            <w:r w:rsidR="00D91032">
              <w:rPr>
                <w:sz w:val="18"/>
                <w:szCs w:val="18"/>
              </w:rPr>
              <w:t xml:space="preserve">27 articles made it to full text review. Four trials were included from this search. </w:t>
            </w:r>
            <w:r w:rsidR="008B3F5B">
              <w:rPr>
                <w:sz w:val="18"/>
                <w:szCs w:val="18"/>
              </w:rPr>
              <w:t xml:space="preserve">A secondary search was conducted based on review of literature from experts in the field that may have been </w:t>
            </w:r>
            <w:r w:rsidR="004A7178">
              <w:rPr>
                <w:sz w:val="18"/>
                <w:szCs w:val="18"/>
              </w:rPr>
              <w:t>missed in the initial search</w:t>
            </w:r>
            <w:r w:rsidR="008B3F5B">
              <w:rPr>
                <w:sz w:val="18"/>
                <w:szCs w:val="18"/>
              </w:rPr>
              <w:t>. The secondary search produced three articles</w:t>
            </w:r>
            <w:r w:rsidR="008D358A">
              <w:rPr>
                <w:sz w:val="18"/>
                <w:szCs w:val="18"/>
              </w:rPr>
              <w:t xml:space="preserve"> </w:t>
            </w:r>
            <w:r w:rsidR="004A7178">
              <w:rPr>
                <w:sz w:val="18"/>
                <w:szCs w:val="18"/>
              </w:rPr>
              <w:t xml:space="preserve">and one additional RCT was included after correspondence with the authors. </w:t>
            </w:r>
            <w:r w:rsidR="00372737">
              <w:rPr>
                <w:sz w:val="18"/>
                <w:szCs w:val="18"/>
              </w:rPr>
              <w:t xml:space="preserve">All 8 studies were RCTs with participants &gt;18 years old who have had chronic low back pain &gt;3 months. Sample sizes ranged from n=12 to n=216. </w:t>
            </w:r>
          </w:p>
          <w:p w14:paraId="7D52F2BB" w14:textId="77777777" w:rsidR="001D4F60" w:rsidRPr="002F16E1" w:rsidRDefault="001D4F60" w:rsidP="009E380F">
            <w:pPr>
              <w:spacing w:before="120" w:after="120"/>
              <w:jc w:val="right"/>
              <w:rPr>
                <w:sz w:val="18"/>
                <w:szCs w:val="18"/>
              </w:rPr>
            </w:pPr>
          </w:p>
        </w:tc>
      </w:tr>
      <w:tr w:rsidR="001D4F60" w:rsidRPr="002F16E1" w14:paraId="05170E16" w14:textId="77777777" w:rsidTr="001D4F60">
        <w:tc>
          <w:tcPr>
            <w:tcW w:w="10421" w:type="dxa"/>
            <w:shd w:val="clear" w:color="auto" w:fill="E6E6E6"/>
          </w:tcPr>
          <w:p w14:paraId="426D6C07" w14:textId="77777777" w:rsidR="001D4F60" w:rsidRPr="002F16E1" w:rsidRDefault="001D4F60" w:rsidP="009E380F">
            <w:pPr>
              <w:spacing w:before="120" w:after="120"/>
              <w:rPr>
                <w:b/>
                <w:sz w:val="18"/>
                <w:szCs w:val="18"/>
              </w:rPr>
            </w:pPr>
            <w:r w:rsidRPr="002F16E1">
              <w:rPr>
                <w:b/>
                <w:sz w:val="18"/>
                <w:szCs w:val="18"/>
              </w:rPr>
              <w:t>Intervention Investigated</w:t>
            </w:r>
          </w:p>
          <w:p w14:paraId="7AD62A05" w14:textId="77777777" w:rsidR="001D4F60" w:rsidRPr="002F16E1" w:rsidRDefault="001D4F60" w:rsidP="009E380F">
            <w:pPr>
              <w:spacing w:before="120" w:after="120"/>
              <w:rPr>
                <w:sz w:val="18"/>
                <w:szCs w:val="18"/>
              </w:rPr>
            </w:pPr>
            <w:r w:rsidRPr="002F16E1">
              <w:rPr>
                <w:sz w:val="18"/>
                <w:szCs w:val="18"/>
              </w:rPr>
              <w:t>[Provide details of methods, who provided treatment, when and where, how many hours of treatment provided]</w:t>
            </w:r>
          </w:p>
        </w:tc>
      </w:tr>
      <w:tr w:rsidR="001D4F60" w:rsidRPr="002F16E1" w14:paraId="46666C32" w14:textId="77777777" w:rsidTr="001D4F60">
        <w:tc>
          <w:tcPr>
            <w:tcW w:w="10421" w:type="dxa"/>
            <w:shd w:val="clear" w:color="auto" w:fill="auto"/>
          </w:tcPr>
          <w:p w14:paraId="608416AA" w14:textId="77777777" w:rsidR="001D4F60" w:rsidRPr="002F16E1" w:rsidRDefault="001D4F60" w:rsidP="009E380F">
            <w:pPr>
              <w:spacing w:before="120" w:after="120"/>
              <w:rPr>
                <w:i/>
                <w:sz w:val="18"/>
                <w:szCs w:val="18"/>
              </w:rPr>
            </w:pPr>
            <w:r w:rsidRPr="002F16E1">
              <w:rPr>
                <w:i/>
                <w:sz w:val="18"/>
                <w:szCs w:val="18"/>
              </w:rPr>
              <w:t>Control</w:t>
            </w:r>
          </w:p>
        </w:tc>
      </w:tr>
      <w:tr w:rsidR="001D4F60" w:rsidRPr="002F16E1" w14:paraId="1AA730EA" w14:textId="77777777" w:rsidTr="001D4F60">
        <w:tc>
          <w:tcPr>
            <w:tcW w:w="10421" w:type="dxa"/>
            <w:shd w:val="clear" w:color="auto" w:fill="auto"/>
          </w:tcPr>
          <w:p w14:paraId="25DA9393" w14:textId="168D1DF7" w:rsidR="001D4F60" w:rsidRPr="002F16E1" w:rsidRDefault="000B7DB3" w:rsidP="009E380F">
            <w:pPr>
              <w:spacing w:before="120" w:after="120"/>
              <w:rPr>
                <w:sz w:val="18"/>
                <w:szCs w:val="18"/>
              </w:rPr>
            </w:pPr>
            <w:r>
              <w:rPr>
                <w:sz w:val="18"/>
                <w:szCs w:val="18"/>
              </w:rPr>
              <w:t>The s</w:t>
            </w:r>
            <w:r w:rsidR="00394CC0">
              <w:rPr>
                <w:sz w:val="18"/>
                <w:szCs w:val="18"/>
              </w:rPr>
              <w:t xml:space="preserve">pecific </w:t>
            </w:r>
            <w:r w:rsidR="00754CF5">
              <w:rPr>
                <w:sz w:val="18"/>
                <w:szCs w:val="18"/>
              </w:rPr>
              <w:t>control</w:t>
            </w:r>
            <w:r w:rsidR="00394CC0">
              <w:rPr>
                <w:sz w:val="18"/>
                <w:szCs w:val="18"/>
              </w:rPr>
              <w:t xml:space="preserve"> treatment utilized varied between studies</w:t>
            </w:r>
            <w:r w:rsidR="00754CF5">
              <w:rPr>
                <w:sz w:val="18"/>
                <w:szCs w:val="18"/>
              </w:rPr>
              <w:t xml:space="preserve"> and included manual therapy with Maitland mobilizations biomedical education, anatomical education, aquatic exercises, dry needling, and standard PT treatment with therapeutic exercise</w:t>
            </w:r>
            <w:r w:rsidR="00BA392A">
              <w:rPr>
                <w:sz w:val="18"/>
                <w:szCs w:val="18"/>
              </w:rPr>
              <w:t>. A</w:t>
            </w:r>
            <w:r>
              <w:rPr>
                <w:sz w:val="18"/>
                <w:szCs w:val="18"/>
              </w:rPr>
              <w:t>ll followed the inclusion criteria, so the control group could not include pain neuroscience education.</w:t>
            </w:r>
            <w:r w:rsidR="00754CF5">
              <w:rPr>
                <w:sz w:val="18"/>
                <w:szCs w:val="18"/>
              </w:rPr>
              <w:t xml:space="preserve"> </w:t>
            </w:r>
          </w:p>
          <w:p w14:paraId="62D1834E" w14:textId="77777777" w:rsidR="001D4F60" w:rsidRPr="002F16E1" w:rsidRDefault="001D4F60" w:rsidP="009E380F">
            <w:pPr>
              <w:spacing w:before="120" w:after="120"/>
              <w:rPr>
                <w:sz w:val="18"/>
                <w:szCs w:val="18"/>
              </w:rPr>
            </w:pPr>
          </w:p>
        </w:tc>
      </w:tr>
      <w:tr w:rsidR="001D4F60" w:rsidRPr="002F16E1" w14:paraId="3DE1AF3F" w14:textId="77777777" w:rsidTr="001D4F60">
        <w:tc>
          <w:tcPr>
            <w:tcW w:w="10421" w:type="dxa"/>
            <w:shd w:val="clear" w:color="auto" w:fill="auto"/>
          </w:tcPr>
          <w:p w14:paraId="1B0C31DD" w14:textId="77777777" w:rsidR="001D4F60" w:rsidRPr="002F16E1" w:rsidRDefault="001D4F60" w:rsidP="009E380F">
            <w:pPr>
              <w:spacing w:before="120" w:after="120"/>
              <w:rPr>
                <w:i/>
                <w:sz w:val="18"/>
                <w:szCs w:val="18"/>
              </w:rPr>
            </w:pPr>
            <w:r w:rsidRPr="002F16E1">
              <w:rPr>
                <w:i/>
                <w:sz w:val="18"/>
                <w:szCs w:val="18"/>
              </w:rPr>
              <w:t>Experimental</w:t>
            </w:r>
          </w:p>
        </w:tc>
      </w:tr>
      <w:tr w:rsidR="001D4F60" w:rsidRPr="002F16E1" w14:paraId="2CFE1B45" w14:textId="77777777" w:rsidTr="001D4F60">
        <w:tc>
          <w:tcPr>
            <w:tcW w:w="10421" w:type="dxa"/>
            <w:tcBorders>
              <w:bottom w:val="single" w:sz="4" w:space="0" w:color="auto"/>
            </w:tcBorders>
            <w:shd w:val="clear" w:color="auto" w:fill="auto"/>
          </w:tcPr>
          <w:p w14:paraId="20807614" w14:textId="7DD5C262" w:rsidR="001D4F60" w:rsidRPr="002F16E1" w:rsidRDefault="00754CF5" w:rsidP="009E380F">
            <w:pPr>
              <w:spacing w:before="120" w:after="120"/>
              <w:rPr>
                <w:sz w:val="18"/>
                <w:szCs w:val="18"/>
              </w:rPr>
            </w:pPr>
            <w:r>
              <w:rPr>
                <w:sz w:val="18"/>
                <w:szCs w:val="18"/>
              </w:rPr>
              <w:t>The experimental group all in</w:t>
            </w:r>
            <w:r w:rsidR="00E72FFA">
              <w:rPr>
                <w:sz w:val="18"/>
                <w:szCs w:val="18"/>
              </w:rPr>
              <w:t xml:space="preserve">cluded pain neuroscience education </w:t>
            </w:r>
            <w:r w:rsidR="00D73903">
              <w:rPr>
                <w:sz w:val="18"/>
                <w:szCs w:val="18"/>
              </w:rPr>
              <w:t xml:space="preserve">in various presentation forms in conjunction to the control treatment. </w:t>
            </w:r>
            <w:r w:rsidR="00734AB5">
              <w:rPr>
                <w:sz w:val="18"/>
                <w:szCs w:val="18"/>
              </w:rPr>
              <w:t>6/8 studies included multiple sessions of PNE</w:t>
            </w:r>
            <w:r w:rsidR="00305E39">
              <w:rPr>
                <w:sz w:val="18"/>
                <w:szCs w:val="18"/>
              </w:rPr>
              <w:t xml:space="preserve">, but the frequency varied between studies. </w:t>
            </w:r>
          </w:p>
          <w:p w14:paraId="7B3EA2F2" w14:textId="77777777" w:rsidR="001D4F60" w:rsidRPr="002F16E1" w:rsidRDefault="001D4F60" w:rsidP="009E380F">
            <w:pPr>
              <w:spacing w:before="120" w:after="120"/>
              <w:jc w:val="right"/>
              <w:rPr>
                <w:sz w:val="18"/>
                <w:szCs w:val="18"/>
              </w:rPr>
            </w:pPr>
          </w:p>
        </w:tc>
      </w:tr>
      <w:tr w:rsidR="001D4F60" w:rsidRPr="002F16E1" w14:paraId="6A57C45F" w14:textId="77777777" w:rsidTr="001D4F60">
        <w:tc>
          <w:tcPr>
            <w:tcW w:w="10421" w:type="dxa"/>
            <w:shd w:val="clear" w:color="auto" w:fill="E6E6E6"/>
          </w:tcPr>
          <w:p w14:paraId="2B68FB90" w14:textId="77777777" w:rsidR="001D4F60" w:rsidRPr="002F16E1" w:rsidRDefault="001D4F60" w:rsidP="009E380F">
            <w:pPr>
              <w:spacing w:before="120" w:after="120"/>
              <w:rPr>
                <w:sz w:val="18"/>
                <w:szCs w:val="18"/>
              </w:rPr>
            </w:pPr>
            <w:r w:rsidRPr="002F16E1">
              <w:rPr>
                <w:b/>
                <w:sz w:val="18"/>
                <w:szCs w:val="18"/>
              </w:rPr>
              <w:t>Outcome Measures</w:t>
            </w:r>
          </w:p>
          <w:p w14:paraId="75878073" w14:textId="77777777" w:rsidR="001D4F60" w:rsidRPr="002F16E1" w:rsidRDefault="001D4F60"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1D4F60" w:rsidRPr="002F16E1" w14:paraId="27BAE41D" w14:textId="77777777" w:rsidTr="001D4F60">
        <w:tc>
          <w:tcPr>
            <w:tcW w:w="10421" w:type="dxa"/>
            <w:tcBorders>
              <w:bottom w:val="single" w:sz="4" w:space="0" w:color="auto"/>
            </w:tcBorders>
            <w:shd w:val="clear" w:color="auto" w:fill="auto"/>
          </w:tcPr>
          <w:p w14:paraId="44154F72" w14:textId="12B00D67" w:rsidR="001D4F60" w:rsidRPr="002F16E1" w:rsidRDefault="007A5A35" w:rsidP="009E380F">
            <w:pPr>
              <w:spacing w:before="120" w:after="120"/>
              <w:rPr>
                <w:sz w:val="18"/>
                <w:szCs w:val="18"/>
              </w:rPr>
            </w:pPr>
            <w:r>
              <w:rPr>
                <w:sz w:val="18"/>
                <w:szCs w:val="18"/>
              </w:rPr>
              <w:t>5/8 studies utilized numeric pain scale</w:t>
            </w:r>
            <w:r w:rsidR="00C360E1">
              <w:rPr>
                <w:sz w:val="18"/>
                <w:szCs w:val="18"/>
              </w:rPr>
              <w:t xml:space="preserve">, while one study used the visual </w:t>
            </w:r>
            <w:proofErr w:type="spellStart"/>
            <w:r w:rsidR="00C360E1">
              <w:rPr>
                <w:sz w:val="18"/>
                <w:szCs w:val="18"/>
              </w:rPr>
              <w:t>analog</w:t>
            </w:r>
            <w:proofErr w:type="spellEnd"/>
            <w:r w:rsidR="00C360E1">
              <w:rPr>
                <w:sz w:val="18"/>
                <w:szCs w:val="18"/>
              </w:rPr>
              <w:t xml:space="preserve"> scale. 5/8 studies also used the Roland Morris Disability Questionnaire. </w:t>
            </w:r>
            <w:r w:rsidR="00365423">
              <w:rPr>
                <w:sz w:val="18"/>
                <w:szCs w:val="18"/>
              </w:rPr>
              <w:t>6</w:t>
            </w:r>
            <w:r w:rsidR="00C360E1">
              <w:rPr>
                <w:sz w:val="18"/>
                <w:szCs w:val="18"/>
              </w:rPr>
              <w:t xml:space="preserve">/8 studies measured short term outcomes with 6 weeks, while 2 studies performed long term follow up at 12 months. </w:t>
            </w:r>
            <w:r w:rsidR="00E03195">
              <w:rPr>
                <w:sz w:val="18"/>
                <w:szCs w:val="18"/>
              </w:rPr>
              <w:t>All tests were given to patients by physical therapists in an outpatient setting.</w:t>
            </w:r>
          </w:p>
          <w:tbl>
            <w:tblPr>
              <w:tblStyle w:val="TableGrid"/>
              <w:tblW w:w="0" w:type="auto"/>
              <w:tblLook w:val="04A0" w:firstRow="1" w:lastRow="0" w:firstColumn="1" w:lastColumn="0" w:noHBand="0" w:noVBand="1"/>
            </w:tblPr>
            <w:tblGrid>
              <w:gridCol w:w="3166"/>
              <w:gridCol w:w="1630"/>
              <w:gridCol w:w="2597"/>
              <w:gridCol w:w="2576"/>
            </w:tblGrid>
            <w:tr w:rsidR="00F22B0E" w14:paraId="602E07D4" w14:textId="3714AAF9" w:rsidTr="00F22B0E">
              <w:tc>
                <w:tcPr>
                  <w:tcW w:w="3235" w:type="dxa"/>
                </w:tcPr>
                <w:p w14:paraId="12F9BAA4" w14:textId="130753DB" w:rsidR="00F22B0E" w:rsidRDefault="00F22B0E" w:rsidP="009E380F">
                  <w:pPr>
                    <w:spacing w:before="120" w:after="120"/>
                    <w:rPr>
                      <w:sz w:val="18"/>
                      <w:szCs w:val="18"/>
                    </w:rPr>
                  </w:pPr>
                  <w:r>
                    <w:rPr>
                      <w:sz w:val="18"/>
                      <w:szCs w:val="18"/>
                    </w:rPr>
                    <w:t>Test</w:t>
                  </w:r>
                </w:p>
              </w:tc>
              <w:tc>
                <w:tcPr>
                  <w:tcW w:w="1660" w:type="dxa"/>
                </w:tcPr>
                <w:p w14:paraId="1179EA37" w14:textId="69BF032F" w:rsidR="00F22B0E" w:rsidRDefault="00F22B0E" w:rsidP="009E380F">
                  <w:pPr>
                    <w:spacing w:before="120" w:after="120"/>
                    <w:rPr>
                      <w:sz w:val="18"/>
                      <w:szCs w:val="18"/>
                    </w:rPr>
                  </w:pPr>
                  <w:r>
                    <w:rPr>
                      <w:sz w:val="18"/>
                      <w:szCs w:val="18"/>
                    </w:rPr>
                    <w:t>Scoring Range</w:t>
                  </w:r>
                </w:p>
              </w:tc>
              <w:tc>
                <w:tcPr>
                  <w:tcW w:w="2655" w:type="dxa"/>
                </w:tcPr>
                <w:p w14:paraId="0D1B0225" w14:textId="21B65FA9" w:rsidR="00F22B0E" w:rsidRDefault="00F22B0E" w:rsidP="009E380F">
                  <w:pPr>
                    <w:spacing w:before="120" w:after="120"/>
                    <w:rPr>
                      <w:sz w:val="18"/>
                      <w:szCs w:val="18"/>
                    </w:rPr>
                  </w:pPr>
                  <w:r>
                    <w:rPr>
                      <w:sz w:val="18"/>
                      <w:szCs w:val="18"/>
                    </w:rPr>
                    <w:t>Type of Outcome Measure</w:t>
                  </w:r>
                </w:p>
              </w:tc>
              <w:tc>
                <w:tcPr>
                  <w:tcW w:w="2645" w:type="dxa"/>
                </w:tcPr>
                <w:p w14:paraId="2EEFE0D5" w14:textId="4A864E06" w:rsidR="00F22B0E" w:rsidRDefault="00F22B0E" w:rsidP="009E380F">
                  <w:pPr>
                    <w:spacing w:before="120" w:after="120"/>
                    <w:rPr>
                      <w:sz w:val="18"/>
                      <w:szCs w:val="18"/>
                    </w:rPr>
                  </w:pPr>
                  <w:r>
                    <w:rPr>
                      <w:sz w:val="18"/>
                      <w:szCs w:val="18"/>
                    </w:rPr>
                    <w:t xml:space="preserve"># </w:t>
                  </w:r>
                  <w:proofErr w:type="gramStart"/>
                  <w:r>
                    <w:rPr>
                      <w:sz w:val="18"/>
                      <w:szCs w:val="18"/>
                    </w:rPr>
                    <w:t>of</w:t>
                  </w:r>
                  <w:proofErr w:type="gramEnd"/>
                  <w:r>
                    <w:rPr>
                      <w:sz w:val="18"/>
                      <w:szCs w:val="18"/>
                    </w:rPr>
                    <w:t xml:space="preserve"> studies utilized </w:t>
                  </w:r>
                </w:p>
              </w:tc>
            </w:tr>
            <w:tr w:rsidR="00F22B0E" w14:paraId="66EA7DFB" w14:textId="43912511" w:rsidTr="00F22B0E">
              <w:tc>
                <w:tcPr>
                  <w:tcW w:w="3235" w:type="dxa"/>
                </w:tcPr>
                <w:p w14:paraId="60EF274E" w14:textId="6CA685DC" w:rsidR="00F22B0E" w:rsidRDefault="00F22B0E" w:rsidP="009E380F">
                  <w:pPr>
                    <w:spacing w:before="120" w:after="120"/>
                    <w:rPr>
                      <w:sz w:val="18"/>
                      <w:szCs w:val="18"/>
                    </w:rPr>
                  </w:pPr>
                  <w:r>
                    <w:rPr>
                      <w:sz w:val="18"/>
                      <w:szCs w:val="18"/>
                    </w:rPr>
                    <w:t>Numeric pain scale</w:t>
                  </w:r>
                </w:p>
              </w:tc>
              <w:tc>
                <w:tcPr>
                  <w:tcW w:w="1660" w:type="dxa"/>
                </w:tcPr>
                <w:p w14:paraId="51C3CCA0" w14:textId="4B10747C" w:rsidR="00F22B0E" w:rsidRDefault="00F22B0E" w:rsidP="009E380F">
                  <w:pPr>
                    <w:spacing w:before="120" w:after="120"/>
                    <w:rPr>
                      <w:sz w:val="18"/>
                      <w:szCs w:val="18"/>
                    </w:rPr>
                  </w:pPr>
                  <w:r>
                    <w:rPr>
                      <w:sz w:val="18"/>
                      <w:szCs w:val="18"/>
                    </w:rPr>
                    <w:t xml:space="preserve">1-10 </w:t>
                  </w:r>
                </w:p>
              </w:tc>
              <w:tc>
                <w:tcPr>
                  <w:tcW w:w="2655" w:type="dxa"/>
                </w:tcPr>
                <w:p w14:paraId="5F8E088A" w14:textId="1B471566" w:rsidR="00F22B0E" w:rsidRDefault="00F22B0E" w:rsidP="009E380F">
                  <w:pPr>
                    <w:spacing w:before="120" w:after="120"/>
                    <w:rPr>
                      <w:sz w:val="18"/>
                      <w:szCs w:val="18"/>
                    </w:rPr>
                  </w:pPr>
                  <w:r>
                    <w:rPr>
                      <w:sz w:val="18"/>
                      <w:szCs w:val="18"/>
                    </w:rPr>
                    <w:t>Subjective patient report</w:t>
                  </w:r>
                </w:p>
              </w:tc>
              <w:tc>
                <w:tcPr>
                  <w:tcW w:w="2645" w:type="dxa"/>
                </w:tcPr>
                <w:p w14:paraId="3247E747" w14:textId="13D20333" w:rsidR="00F22B0E" w:rsidRDefault="00F22B0E" w:rsidP="009E380F">
                  <w:pPr>
                    <w:spacing w:before="120" w:after="120"/>
                    <w:rPr>
                      <w:sz w:val="18"/>
                      <w:szCs w:val="18"/>
                    </w:rPr>
                  </w:pPr>
                  <w:r>
                    <w:rPr>
                      <w:sz w:val="18"/>
                      <w:szCs w:val="18"/>
                    </w:rPr>
                    <w:t>5/8</w:t>
                  </w:r>
                </w:p>
              </w:tc>
            </w:tr>
            <w:tr w:rsidR="00F22B0E" w14:paraId="23E439FD" w14:textId="0B804A11" w:rsidTr="00F22B0E">
              <w:tc>
                <w:tcPr>
                  <w:tcW w:w="3235" w:type="dxa"/>
                </w:tcPr>
                <w:p w14:paraId="4CEFFCF2" w14:textId="04818706" w:rsidR="00F22B0E" w:rsidRDefault="00F22B0E" w:rsidP="00F22B0E">
                  <w:pPr>
                    <w:spacing w:before="120" w:after="120"/>
                    <w:rPr>
                      <w:sz w:val="18"/>
                      <w:szCs w:val="18"/>
                    </w:rPr>
                  </w:pPr>
                  <w:r>
                    <w:rPr>
                      <w:sz w:val="18"/>
                      <w:szCs w:val="18"/>
                    </w:rPr>
                    <w:t>Roland Morris Disability Questionnaire</w:t>
                  </w:r>
                </w:p>
              </w:tc>
              <w:tc>
                <w:tcPr>
                  <w:tcW w:w="1660" w:type="dxa"/>
                </w:tcPr>
                <w:p w14:paraId="2DC7A5EF" w14:textId="782024B2" w:rsidR="00F22B0E" w:rsidRDefault="00365423" w:rsidP="00F22B0E">
                  <w:pPr>
                    <w:spacing w:before="120" w:after="120"/>
                    <w:rPr>
                      <w:sz w:val="18"/>
                      <w:szCs w:val="18"/>
                    </w:rPr>
                  </w:pPr>
                  <w:r>
                    <w:rPr>
                      <w:sz w:val="18"/>
                      <w:szCs w:val="18"/>
                    </w:rPr>
                    <w:t>0-24</w:t>
                  </w:r>
                </w:p>
              </w:tc>
              <w:tc>
                <w:tcPr>
                  <w:tcW w:w="2655" w:type="dxa"/>
                </w:tcPr>
                <w:p w14:paraId="5F358961" w14:textId="6F6728BD" w:rsidR="00F22B0E" w:rsidRDefault="00D563AE" w:rsidP="00F22B0E">
                  <w:pPr>
                    <w:spacing w:before="120" w:after="120"/>
                    <w:rPr>
                      <w:sz w:val="18"/>
                      <w:szCs w:val="18"/>
                    </w:rPr>
                  </w:pPr>
                  <w:r>
                    <w:rPr>
                      <w:sz w:val="18"/>
                      <w:szCs w:val="18"/>
                    </w:rPr>
                    <w:t>Patient reported outcome</w:t>
                  </w:r>
                </w:p>
              </w:tc>
              <w:tc>
                <w:tcPr>
                  <w:tcW w:w="2645" w:type="dxa"/>
                </w:tcPr>
                <w:p w14:paraId="53A6154A" w14:textId="5456334B" w:rsidR="00F22B0E" w:rsidRDefault="00F22B0E" w:rsidP="00F22B0E">
                  <w:pPr>
                    <w:spacing w:before="120" w:after="120"/>
                    <w:rPr>
                      <w:sz w:val="18"/>
                      <w:szCs w:val="18"/>
                    </w:rPr>
                  </w:pPr>
                  <w:r>
                    <w:rPr>
                      <w:sz w:val="18"/>
                      <w:szCs w:val="18"/>
                    </w:rPr>
                    <w:t>5/8</w:t>
                  </w:r>
                </w:p>
              </w:tc>
            </w:tr>
            <w:tr w:rsidR="00F22B0E" w14:paraId="56622437" w14:textId="258B8AAE" w:rsidTr="00F22B0E">
              <w:tc>
                <w:tcPr>
                  <w:tcW w:w="3235" w:type="dxa"/>
                </w:tcPr>
                <w:p w14:paraId="05915A08" w14:textId="2206341D" w:rsidR="00F22B0E" w:rsidRDefault="00F22B0E" w:rsidP="009E380F">
                  <w:pPr>
                    <w:spacing w:before="120" w:after="120"/>
                    <w:rPr>
                      <w:sz w:val="18"/>
                      <w:szCs w:val="18"/>
                    </w:rPr>
                  </w:pPr>
                  <w:r>
                    <w:rPr>
                      <w:sz w:val="18"/>
                      <w:szCs w:val="18"/>
                    </w:rPr>
                    <w:lastRenderedPageBreak/>
                    <w:t>Visual Analogue Scale</w:t>
                  </w:r>
                </w:p>
              </w:tc>
              <w:tc>
                <w:tcPr>
                  <w:tcW w:w="1660" w:type="dxa"/>
                </w:tcPr>
                <w:p w14:paraId="3437A472" w14:textId="3624AA46" w:rsidR="00F22B0E" w:rsidRDefault="00365423" w:rsidP="009E380F">
                  <w:pPr>
                    <w:spacing w:before="120" w:after="120"/>
                    <w:rPr>
                      <w:sz w:val="18"/>
                      <w:szCs w:val="18"/>
                    </w:rPr>
                  </w:pPr>
                  <w:r>
                    <w:rPr>
                      <w:sz w:val="18"/>
                      <w:szCs w:val="18"/>
                    </w:rPr>
                    <w:t>100 mm</w:t>
                  </w:r>
                </w:p>
              </w:tc>
              <w:tc>
                <w:tcPr>
                  <w:tcW w:w="2655" w:type="dxa"/>
                </w:tcPr>
                <w:p w14:paraId="55AC8473" w14:textId="6EFD120D" w:rsidR="00F22B0E" w:rsidRDefault="00365423" w:rsidP="009E380F">
                  <w:pPr>
                    <w:spacing w:before="120" w:after="120"/>
                    <w:rPr>
                      <w:sz w:val="18"/>
                      <w:szCs w:val="18"/>
                    </w:rPr>
                  </w:pPr>
                  <w:r>
                    <w:rPr>
                      <w:sz w:val="18"/>
                      <w:szCs w:val="18"/>
                    </w:rPr>
                    <w:t>Subjective patient report</w:t>
                  </w:r>
                </w:p>
              </w:tc>
              <w:tc>
                <w:tcPr>
                  <w:tcW w:w="2645" w:type="dxa"/>
                </w:tcPr>
                <w:p w14:paraId="75540408" w14:textId="49E58037" w:rsidR="00F22B0E" w:rsidRDefault="00F22B0E" w:rsidP="009E380F">
                  <w:pPr>
                    <w:spacing w:before="120" w:after="120"/>
                    <w:rPr>
                      <w:sz w:val="18"/>
                      <w:szCs w:val="18"/>
                    </w:rPr>
                  </w:pPr>
                </w:p>
              </w:tc>
            </w:tr>
            <w:tr w:rsidR="00F22B0E" w14:paraId="1C0762B0" w14:textId="332BAA68" w:rsidTr="00F22B0E">
              <w:tc>
                <w:tcPr>
                  <w:tcW w:w="3235" w:type="dxa"/>
                </w:tcPr>
                <w:p w14:paraId="0E14362A" w14:textId="4B9B20E1" w:rsidR="00F22B0E" w:rsidRDefault="00F22B0E" w:rsidP="009E380F">
                  <w:pPr>
                    <w:spacing w:before="120" w:after="120"/>
                    <w:rPr>
                      <w:sz w:val="18"/>
                      <w:szCs w:val="18"/>
                    </w:rPr>
                  </w:pPr>
                  <w:r>
                    <w:rPr>
                      <w:sz w:val="18"/>
                      <w:szCs w:val="18"/>
                    </w:rPr>
                    <w:t>Quebec Back Pain and Disability Scale</w:t>
                  </w:r>
                </w:p>
              </w:tc>
              <w:tc>
                <w:tcPr>
                  <w:tcW w:w="1660" w:type="dxa"/>
                </w:tcPr>
                <w:p w14:paraId="386E971D" w14:textId="7A92AE37" w:rsidR="00F22B0E" w:rsidRDefault="00F22B0E" w:rsidP="009E380F">
                  <w:pPr>
                    <w:spacing w:before="120" w:after="120"/>
                    <w:rPr>
                      <w:sz w:val="18"/>
                      <w:szCs w:val="18"/>
                    </w:rPr>
                  </w:pPr>
                  <w:r>
                    <w:rPr>
                      <w:sz w:val="18"/>
                      <w:szCs w:val="18"/>
                    </w:rPr>
                    <w:t>0-20</w:t>
                  </w:r>
                </w:p>
              </w:tc>
              <w:tc>
                <w:tcPr>
                  <w:tcW w:w="2655" w:type="dxa"/>
                </w:tcPr>
                <w:p w14:paraId="05A813AC" w14:textId="104D7253" w:rsidR="00F22B0E" w:rsidRDefault="00791B96" w:rsidP="009E380F">
                  <w:pPr>
                    <w:spacing w:before="120" w:after="120"/>
                    <w:rPr>
                      <w:sz w:val="18"/>
                      <w:szCs w:val="18"/>
                    </w:rPr>
                  </w:pPr>
                  <w:r>
                    <w:rPr>
                      <w:sz w:val="18"/>
                      <w:szCs w:val="18"/>
                    </w:rPr>
                    <w:t>Condition Specific P</w:t>
                  </w:r>
                  <w:r w:rsidR="00D563AE">
                    <w:rPr>
                      <w:sz w:val="18"/>
                      <w:szCs w:val="18"/>
                    </w:rPr>
                    <w:t>atient reported outcome</w:t>
                  </w:r>
                </w:p>
              </w:tc>
              <w:tc>
                <w:tcPr>
                  <w:tcW w:w="2645" w:type="dxa"/>
                </w:tcPr>
                <w:p w14:paraId="2D35293B" w14:textId="603DCBF4" w:rsidR="00F22B0E" w:rsidRDefault="00F22B0E" w:rsidP="009E380F">
                  <w:pPr>
                    <w:spacing w:before="120" w:after="120"/>
                    <w:rPr>
                      <w:sz w:val="18"/>
                      <w:szCs w:val="18"/>
                    </w:rPr>
                  </w:pPr>
                  <w:r>
                    <w:rPr>
                      <w:sz w:val="18"/>
                      <w:szCs w:val="18"/>
                    </w:rPr>
                    <w:t>1/8</w:t>
                  </w:r>
                </w:p>
              </w:tc>
            </w:tr>
            <w:tr w:rsidR="00F22B0E" w14:paraId="3C90CB05" w14:textId="6B7B80EA" w:rsidTr="00F22B0E">
              <w:tc>
                <w:tcPr>
                  <w:tcW w:w="3235" w:type="dxa"/>
                </w:tcPr>
                <w:p w14:paraId="6261AC10" w14:textId="451FD274" w:rsidR="00F22B0E" w:rsidRDefault="00F22B0E" w:rsidP="009E380F">
                  <w:pPr>
                    <w:spacing w:before="120" w:after="120"/>
                    <w:rPr>
                      <w:sz w:val="18"/>
                      <w:szCs w:val="18"/>
                    </w:rPr>
                  </w:pPr>
                  <w:proofErr w:type="spellStart"/>
                  <w:r>
                    <w:rPr>
                      <w:sz w:val="18"/>
                      <w:szCs w:val="18"/>
                    </w:rPr>
                    <w:t>Oswestry</w:t>
                  </w:r>
                  <w:proofErr w:type="spellEnd"/>
                  <w:r>
                    <w:rPr>
                      <w:sz w:val="18"/>
                      <w:szCs w:val="18"/>
                    </w:rPr>
                    <w:t xml:space="preserve"> Disability Index</w:t>
                  </w:r>
                </w:p>
              </w:tc>
              <w:tc>
                <w:tcPr>
                  <w:tcW w:w="1660" w:type="dxa"/>
                </w:tcPr>
                <w:p w14:paraId="5812CF82" w14:textId="2780D88A" w:rsidR="00F22B0E" w:rsidRDefault="00365423" w:rsidP="009E380F">
                  <w:pPr>
                    <w:spacing w:before="120" w:after="120"/>
                    <w:rPr>
                      <w:sz w:val="18"/>
                      <w:szCs w:val="18"/>
                    </w:rPr>
                  </w:pPr>
                  <w:r>
                    <w:rPr>
                      <w:sz w:val="18"/>
                      <w:szCs w:val="18"/>
                    </w:rPr>
                    <w:t>0-50 points</w:t>
                  </w:r>
                </w:p>
              </w:tc>
              <w:tc>
                <w:tcPr>
                  <w:tcW w:w="2655" w:type="dxa"/>
                </w:tcPr>
                <w:p w14:paraId="64AF8511" w14:textId="131DC8DC" w:rsidR="00F22B0E" w:rsidRDefault="00791B96" w:rsidP="009E380F">
                  <w:pPr>
                    <w:spacing w:before="120" w:after="120"/>
                    <w:rPr>
                      <w:sz w:val="18"/>
                      <w:szCs w:val="18"/>
                    </w:rPr>
                  </w:pPr>
                  <w:r>
                    <w:rPr>
                      <w:sz w:val="18"/>
                      <w:szCs w:val="18"/>
                    </w:rPr>
                    <w:t>Condition Specific Patient reported outcome</w:t>
                  </w:r>
                </w:p>
              </w:tc>
              <w:tc>
                <w:tcPr>
                  <w:tcW w:w="2645" w:type="dxa"/>
                </w:tcPr>
                <w:p w14:paraId="7C0D91F5" w14:textId="66CC1AC8" w:rsidR="00F22B0E" w:rsidRDefault="00F22B0E" w:rsidP="009E380F">
                  <w:pPr>
                    <w:spacing w:before="120" w:after="120"/>
                    <w:rPr>
                      <w:sz w:val="18"/>
                      <w:szCs w:val="18"/>
                    </w:rPr>
                  </w:pPr>
                  <w:r>
                    <w:rPr>
                      <w:sz w:val="18"/>
                      <w:szCs w:val="18"/>
                    </w:rPr>
                    <w:t>1/8</w:t>
                  </w:r>
                </w:p>
              </w:tc>
            </w:tr>
            <w:tr w:rsidR="00F22B0E" w14:paraId="24BEC83C" w14:textId="2FA55512" w:rsidTr="00F22B0E">
              <w:tc>
                <w:tcPr>
                  <w:tcW w:w="3235" w:type="dxa"/>
                </w:tcPr>
                <w:p w14:paraId="27A780A8" w14:textId="1073DCC0" w:rsidR="00F22B0E" w:rsidRDefault="00F22B0E" w:rsidP="009E380F">
                  <w:pPr>
                    <w:spacing w:before="120" w:after="120"/>
                    <w:rPr>
                      <w:sz w:val="18"/>
                      <w:szCs w:val="18"/>
                    </w:rPr>
                  </w:pPr>
                  <w:r>
                    <w:rPr>
                      <w:sz w:val="18"/>
                      <w:szCs w:val="18"/>
                    </w:rPr>
                    <w:t>Patient-Specific Functional Scale</w:t>
                  </w:r>
                </w:p>
              </w:tc>
              <w:tc>
                <w:tcPr>
                  <w:tcW w:w="1660" w:type="dxa"/>
                </w:tcPr>
                <w:p w14:paraId="5FFF7170" w14:textId="1890133C" w:rsidR="00F22B0E" w:rsidRDefault="00791B96" w:rsidP="009E380F">
                  <w:pPr>
                    <w:spacing w:before="120" w:after="120"/>
                    <w:rPr>
                      <w:sz w:val="18"/>
                      <w:szCs w:val="18"/>
                    </w:rPr>
                  </w:pPr>
                  <w:r>
                    <w:rPr>
                      <w:sz w:val="18"/>
                      <w:szCs w:val="18"/>
                    </w:rPr>
                    <w:t>0-10 for each activity</w:t>
                  </w:r>
                </w:p>
              </w:tc>
              <w:tc>
                <w:tcPr>
                  <w:tcW w:w="2655" w:type="dxa"/>
                </w:tcPr>
                <w:p w14:paraId="65AFCFAB" w14:textId="0A52CC42" w:rsidR="00F22B0E" w:rsidRDefault="00791B96" w:rsidP="009E380F">
                  <w:pPr>
                    <w:spacing w:before="120" w:after="120"/>
                    <w:rPr>
                      <w:sz w:val="18"/>
                      <w:szCs w:val="18"/>
                    </w:rPr>
                  </w:pPr>
                  <w:r>
                    <w:rPr>
                      <w:sz w:val="18"/>
                      <w:szCs w:val="18"/>
                    </w:rPr>
                    <w:t>Patient Reported Outcome</w:t>
                  </w:r>
                </w:p>
              </w:tc>
              <w:tc>
                <w:tcPr>
                  <w:tcW w:w="2645" w:type="dxa"/>
                </w:tcPr>
                <w:p w14:paraId="74BD711F" w14:textId="50ECE8F9" w:rsidR="00F22B0E" w:rsidRDefault="00F22B0E" w:rsidP="009E380F">
                  <w:pPr>
                    <w:spacing w:before="120" w:after="120"/>
                    <w:rPr>
                      <w:sz w:val="18"/>
                      <w:szCs w:val="18"/>
                    </w:rPr>
                  </w:pPr>
                  <w:r>
                    <w:rPr>
                      <w:sz w:val="18"/>
                      <w:szCs w:val="18"/>
                    </w:rPr>
                    <w:t>1/8</w:t>
                  </w:r>
                </w:p>
              </w:tc>
            </w:tr>
            <w:tr w:rsidR="00F22B0E" w14:paraId="30C9D80A" w14:textId="22A9AD72" w:rsidTr="00F22B0E">
              <w:tc>
                <w:tcPr>
                  <w:tcW w:w="3235" w:type="dxa"/>
                </w:tcPr>
                <w:p w14:paraId="0BF126F9" w14:textId="7EA7E032" w:rsidR="00F22B0E" w:rsidRDefault="00F22B0E" w:rsidP="009E380F">
                  <w:pPr>
                    <w:spacing w:before="120" w:after="120"/>
                    <w:rPr>
                      <w:sz w:val="18"/>
                      <w:szCs w:val="18"/>
                    </w:rPr>
                  </w:pPr>
                  <w:r>
                    <w:rPr>
                      <w:sz w:val="18"/>
                      <w:szCs w:val="18"/>
                    </w:rPr>
                    <w:t>Pain Disability Index</w:t>
                  </w:r>
                </w:p>
              </w:tc>
              <w:tc>
                <w:tcPr>
                  <w:tcW w:w="1660" w:type="dxa"/>
                </w:tcPr>
                <w:p w14:paraId="3D70CB6A" w14:textId="42B7DE8E" w:rsidR="00F22B0E" w:rsidRDefault="00791B96" w:rsidP="009E380F">
                  <w:pPr>
                    <w:spacing w:before="120" w:after="120"/>
                    <w:rPr>
                      <w:sz w:val="18"/>
                      <w:szCs w:val="18"/>
                    </w:rPr>
                  </w:pPr>
                  <w:r>
                    <w:rPr>
                      <w:sz w:val="18"/>
                      <w:szCs w:val="18"/>
                    </w:rPr>
                    <w:t>0-70</w:t>
                  </w:r>
                </w:p>
              </w:tc>
              <w:tc>
                <w:tcPr>
                  <w:tcW w:w="2655" w:type="dxa"/>
                </w:tcPr>
                <w:p w14:paraId="2B387AC0" w14:textId="2F593DE8" w:rsidR="00F22B0E" w:rsidRDefault="00791B96" w:rsidP="009E380F">
                  <w:pPr>
                    <w:spacing w:before="120" w:after="120"/>
                    <w:rPr>
                      <w:sz w:val="18"/>
                      <w:szCs w:val="18"/>
                    </w:rPr>
                  </w:pPr>
                  <w:r>
                    <w:rPr>
                      <w:sz w:val="18"/>
                      <w:szCs w:val="18"/>
                    </w:rPr>
                    <w:t>Patient reported outcome</w:t>
                  </w:r>
                </w:p>
              </w:tc>
              <w:tc>
                <w:tcPr>
                  <w:tcW w:w="2645" w:type="dxa"/>
                </w:tcPr>
                <w:p w14:paraId="626FB991" w14:textId="58CFD062" w:rsidR="00F22B0E" w:rsidRDefault="00F22B0E" w:rsidP="009E380F">
                  <w:pPr>
                    <w:spacing w:before="120" w:after="120"/>
                    <w:rPr>
                      <w:sz w:val="18"/>
                      <w:szCs w:val="18"/>
                    </w:rPr>
                  </w:pPr>
                  <w:r>
                    <w:rPr>
                      <w:sz w:val="18"/>
                      <w:szCs w:val="18"/>
                    </w:rPr>
                    <w:t>1/8</w:t>
                  </w:r>
                </w:p>
              </w:tc>
            </w:tr>
          </w:tbl>
          <w:p w14:paraId="2D214D26" w14:textId="77777777" w:rsidR="001D4F60" w:rsidRPr="002F16E1" w:rsidRDefault="001D4F60" w:rsidP="009E380F">
            <w:pPr>
              <w:spacing w:before="120" w:after="120"/>
              <w:rPr>
                <w:sz w:val="18"/>
                <w:szCs w:val="18"/>
              </w:rPr>
            </w:pPr>
          </w:p>
          <w:p w14:paraId="719978C4" w14:textId="77777777" w:rsidR="001D4F60" w:rsidRPr="002F16E1" w:rsidRDefault="001D4F60" w:rsidP="009E380F">
            <w:pPr>
              <w:spacing w:before="120" w:after="120"/>
              <w:jc w:val="right"/>
              <w:rPr>
                <w:sz w:val="18"/>
                <w:szCs w:val="18"/>
              </w:rPr>
            </w:pPr>
          </w:p>
        </w:tc>
      </w:tr>
      <w:tr w:rsidR="001D4F60" w:rsidRPr="002F16E1" w14:paraId="1EB5D95E" w14:textId="77777777" w:rsidTr="001D4F60">
        <w:tc>
          <w:tcPr>
            <w:tcW w:w="10421" w:type="dxa"/>
            <w:tcBorders>
              <w:bottom w:val="single" w:sz="4" w:space="0" w:color="auto"/>
            </w:tcBorders>
            <w:shd w:val="clear" w:color="auto" w:fill="E6E6E6"/>
          </w:tcPr>
          <w:p w14:paraId="47CDF3CB" w14:textId="77777777" w:rsidR="001D4F60" w:rsidRPr="002F16E1" w:rsidRDefault="001D4F60" w:rsidP="009E380F">
            <w:pPr>
              <w:spacing w:before="120" w:after="120"/>
              <w:rPr>
                <w:b/>
                <w:sz w:val="18"/>
                <w:szCs w:val="18"/>
              </w:rPr>
            </w:pPr>
            <w:r w:rsidRPr="002F16E1">
              <w:rPr>
                <w:b/>
                <w:sz w:val="18"/>
                <w:szCs w:val="18"/>
              </w:rPr>
              <w:lastRenderedPageBreak/>
              <w:t>Main Findings</w:t>
            </w:r>
          </w:p>
          <w:p w14:paraId="430E829F" w14:textId="77777777" w:rsidR="001D4F60" w:rsidRPr="002F16E1" w:rsidRDefault="00F81BE7" w:rsidP="001D3ED3">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w:t>
            </w:r>
            <w:r w:rsidR="001D3ED3">
              <w:rPr>
                <w:sz w:val="18"/>
                <w:szCs w:val="18"/>
              </w:rPr>
              <w:t>. You may summarize results in a table but you must explain the results with some narrative</w:t>
            </w:r>
            <w:r w:rsidR="0000738B">
              <w:rPr>
                <w:sz w:val="18"/>
                <w:szCs w:val="18"/>
              </w:rPr>
              <w:t>.</w:t>
            </w:r>
            <w:r w:rsidRPr="002F16E1">
              <w:rPr>
                <w:sz w:val="18"/>
                <w:szCs w:val="18"/>
              </w:rPr>
              <w:t>]</w:t>
            </w:r>
          </w:p>
        </w:tc>
      </w:tr>
      <w:tr w:rsidR="001D4F60" w:rsidRPr="002F16E1" w14:paraId="4F72CEB0" w14:textId="77777777" w:rsidTr="001D4F60">
        <w:tc>
          <w:tcPr>
            <w:tcW w:w="10421" w:type="dxa"/>
            <w:tcBorders>
              <w:bottom w:val="single" w:sz="4" w:space="0" w:color="auto"/>
            </w:tcBorders>
            <w:shd w:val="clear" w:color="auto" w:fill="auto"/>
          </w:tcPr>
          <w:p w14:paraId="295F28F1" w14:textId="3EC35CAE" w:rsidR="001D4F60" w:rsidRPr="002F16E1" w:rsidRDefault="004C7BFB" w:rsidP="009E380F">
            <w:pPr>
              <w:spacing w:before="120" w:after="120"/>
              <w:rPr>
                <w:sz w:val="18"/>
                <w:szCs w:val="18"/>
              </w:rPr>
            </w:pPr>
            <w:r>
              <w:rPr>
                <w:sz w:val="18"/>
                <w:szCs w:val="18"/>
              </w:rPr>
              <w:t xml:space="preserve">For pain, a meta-analysis was conducted </w:t>
            </w:r>
            <w:r w:rsidR="00045EEF">
              <w:rPr>
                <w:sz w:val="18"/>
                <w:szCs w:val="18"/>
              </w:rPr>
              <w:t xml:space="preserve">based on the 10-point PNE scale compared to control groups at 31.8 days for the 6 studies that utilized short term outcomes. </w:t>
            </w:r>
            <w:r w:rsidR="003132F6">
              <w:rPr>
                <w:sz w:val="18"/>
                <w:szCs w:val="18"/>
              </w:rPr>
              <w:t>The different between the control and experimental groups were</w:t>
            </w:r>
            <w:r w:rsidR="00045EEF">
              <w:rPr>
                <w:sz w:val="18"/>
                <w:szCs w:val="18"/>
              </w:rPr>
              <w:t xml:space="preserve"> not found to be statistically significant </w:t>
            </w:r>
            <w:r w:rsidR="003132F6">
              <w:rPr>
                <w:sz w:val="18"/>
                <w:szCs w:val="18"/>
              </w:rPr>
              <w:t xml:space="preserve">and there was significant heterogeneity, but the subgroup analysis showed </w:t>
            </w:r>
            <w:r w:rsidR="009E2C3A">
              <w:rPr>
                <w:sz w:val="18"/>
                <w:szCs w:val="18"/>
              </w:rPr>
              <w:t>that the</w:t>
            </w:r>
            <w:r w:rsidR="00925956">
              <w:rPr>
                <w:sz w:val="18"/>
                <w:szCs w:val="18"/>
              </w:rPr>
              <w:t xml:space="preserve"> difference from the</w:t>
            </w:r>
            <w:r w:rsidR="009E2C3A">
              <w:rPr>
                <w:sz w:val="18"/>
                <w:szCs w:val="18"/>
              </w:rPr>
              <w:t xml:space="preserve"> addition of PNE to standard physical therapy interventions </w:t>
            </w:r>
            <w:r w:rsidR="00925956">
              <w:rPr>
                <w:sz w:val="18"/>
                <w:szCs w:val="18"/>
              </w:rPr>
              <w:t xml:space="preserve">was statistically significant. As a result, although there is low </w:t>
            </w:r>
            <w:r w:rsidR="008C0898">
              <w:rPr>
                <w:sz w:val="18"/>
                <w:szCs w:val="18"/>
              </w:rPr>
              <w:t>level</w:t>
            </w:r>
            <w:r w:rsidR="00925956">
              <w:rPr>
                <w:sz w:val="18"/>
                <w:szCs w:val="18"/>
              </w:rPr>
              <w:t xml:space="preserve"> evidence that PNE </w:t>
            </w:r>
            <w:r w:rsidR="008C0898">
              <w:rPr>
                <w:sz w:val="18"/>
                <w:szCs w:val="18"/>
              </w:rPr>
              <w:t xml:space="preserve">in isolation or combination with another treatment may increase pain relief in the short term, there is moderate level evidence that PNE combined with physical therapy interventions </w:t>
            </w:r>
            <w:r w:rsidR="001A4065">
              <w:rPr>
                <w:sz w:val="18"/>
                <w:szCs w:val="18"/>
              </w:rPr>
              <w:t>leads to a difference that is statistically significant compared to control groups. For disability, a meta-analysis was conducted using results from the Roland Morris Disability Questionnaire at 32.8 days. The mean difference of 2.28</w:t>
            </w:r>
            <w:r w:rsidR="001635E8">
              <w:rPr>
                <w:sz w:val="18"/>
                <w:szCs w:val="18"/>
              </w:rPr>
              <w:t xml:space="preserve"> overall</w:t>
            </w:r>
            <w:r w:rsidR="001A4065">
              <w:rPr>
                <w:sz w:val="18"/>
                <w:szCs w:val="18"/>
              </w:rPr>
              <w:t xml:space="preserve"> was both statistically and clinically significant based on the MC</w:t>
            </w:r>
            <w:r w:rsidR="001635E8">
              <w:rPr>
                <w:sz w:val="18"/>
                <w:szCs w:val="18"/>
              </w:rPr>
              <w:t>ID of 2 points. The results were not statistically significant for long term (12 months) differences in pain or disability.</w:t>
            </w:r>
          </w:p>
          <w:p w14:paraId="42B25BA6" w14:textId="77777777" w:rsidR="001D4F60" w:rsidRPr="002F16E1" w:rsidRDefault="001D4F60" w:rsidP="009E380F">
            <w:pPr>
              <w:spacing w:before="120" w:after="120"/>
              <w:jc w:val="right"/>
              <w:rPr>
                <w:sz w:val="18"/>
                <w:szCs w:val="18"/>
              </w:rPr>
            </w:pPr>
          </w:p>
        </w:tc>
      </w:tr>
      <w:tr w:rsidR="001D4F60" w:rsidRPr="002F16E1" w14:paraId="0A1E4055" w14:textId="77777777" w:rsidTr="001D4F60">
        <w:tc>
          <w:tcPr>
            <w:tcW w:w="10421" w:type="dxa"/>
            <w:shd w:val="clear" w:color="auto" w:fill="E6E6E6"/>
          </w:tcPr>
          <w:p w14:paraId="0270188C" w14:textId="77777777" w:rsidR="001D4F60" w:rsidRPr="002F16E1" w:rsidRDefault="001D4F60" w:rsidP="009E380F">
            <w:pPr>
              <w:spacing w:before="120" w:after="120"/>
              <w:rPr>
                <w:b/>
                <w:sz w:val="18"/>
                <w:szCs w:val="18"/>
              </w:rPr>
            </w:pPr>
            <w:r w:rsidRPr="002F16E1">
              <w:rPr>
                <w:b/>
                <w:sz w:val="18"/>
                <w:szCs w:val="18"/>
              </w:rPr>
              <w:t>Original Authors’ Conclusions</w:t>
            </w:r>
          </w:p>
          <w:p w14:paraId="216A67D6" w14:textId="5767D2CC" w:rsidR="001D4F60" w:rsidRPr="002F16E1" w:rsidRDefault="001D4F60" w:rsidP="009E380F">
            <w:pPr>
              <w:spacing w:before="120" w:after="120"/>
              <w:rPr>
                <w:sz w:val="18"/>
                <w:szCs w:val="18"/>
              </w:rPr>
            </w:pPr>
            <w:r w:rsidRPr="002F16E1">
              <w:rPr>
                <w:sz w:val="18"/>
                <w:szCs w:val="18"/>
              </w:rPr>
              <w:t>[Paraphrase as required. If providing a direct quote, add page number]</w:t>
            </w:r>
          </w:p>
        </w:tc>
      </w:tr>
      <w:tr w:rsidR="001D4F60" w:rsidRPr="002F16E1" w14:paraId="0E1AE997" w14:textId="77777777" w:rsidTr="001D4F60">
        <w:tc>
          <w:tcPr>
            <w:tcW w:w="10421" w:type="dxa"/>
            <w:tcBorders>
              <w:bottom w:val="single" w:sz="4" w:space="0" w:color="auto"/>
            </w:tcBorders>
            <w:shd w:val="clear" w:color="auto" w:fill="auto"/>
          </w:tcPr>
          <w:p w14:paraId="70F942FF" w14:textId="1E542961" w:rsidR="001D4F60" w:rsidRPr="002F16E1" w:rsidRDefault="00A72854" w:rsidP="009E380F">
            <w:pPr>
              <w:spacing w:before="120" w:after="120"/>
              <w:rPr>
                <w:sz w:val="18"/>
                <w:szCs w:val="18"/>
              </w:rPr>
            </w:pPr>
            <w:r>
              <w:rPr>
                <w:sz w:val="18"/>
                <w:szCs w:val="18"/>
              </w:rPr>
              <w:t xml:space="preserve">The authors concluded that </w:t>
            </w:r>
            <w:r w:rsidR="000A31E1">
              <w:rPr>
                <w:sz w:val="18"/>
                <w:szCs w:val="18"/>
              </w:rPr>
              <w:t xml:space="preserve">pain neuroscience education was </w:t>
            </w:r>
            <w:r w:rsidR="00165FB6">
              <w:rPr>
                <w:sz w:val="18"/>
                <w:szCs w:val="18"/>
              </w:rPr>
              <w:t>beneficial in improving disability in participants w</w:t>
            </w:r>
            <w:r w:rsidR="00676BC1">
              <w:rPr>
                <w:sz w:val="18"/>
                <w:szCs w:val="18"/>
              </w:rPr>
              <w:t>hen</w:t>
            </w:r>
            <w:r w:rsidR="00165FB6">
              <w:rPr>
                <w:sz w:val="18"/>
                <w:szCs w:val="18"/>
              </w:rPr>
              <w:t xml:space="preserve"> used alone and when paired with various PT interventions</w:t>
            </w:r>
            <w:r w:rsidR="00676BC1">
              <w:rPr>
                <w:sz w:val="18"/>
                <w:szCs w:val="18"/>
              </w:rPr>
              <w:t xml:space="preserve"> in the short term. </w:t>
            </w:r>
            <w:r w:rsidR="00AA7EE4">
              <w:rPr>
                <w:sz w:val="18"/>
                <w:szCs w:val="18"/>
              </w:rPr>
              <w:t xml:space="preserve">Pain neuroscience education was beneficial </w:t>
            </w:r>
            <w:r w:rsidR="006600D8">
              <w:rPr>
                <w:sz w:val="18"/>
                <w:szCs w:val="18"/>
              </w:rPr>
              <w:t xml:space="preserve">when used </w:t>
            </w:r>
            <w:r w:rsidR="00AA7EE4">
              <w:rPr>
                <w:sz w:val="18"/>
                <w:szCs w:val="18"/>
              </w:rPr>
              <w:t>in conjunction with physical therapy intervention</w:t>
            </w:r>
            <w:r w:rsidR="006600D8">
              <w:rPr>
                <w:sz w:val="18"/>
                <w:szCs w:val="18"/>
              </w:rPr>
              <w:t>s in decreasing pain rating scores</w:t>
            </w:r>
            <w:r w:rsidR="00467D14">
              <w:rPr>
                <w:sz w:val="18"/>
                <w:szCs w:val="18"/>
              </w:rPr>
              <w:t xml:space="preserve">. They were unable to find </w:t>
            </w:r>
            <w:r w:rsidR="001729E2">
              <w:rPr>
                <w:sz w:val="18"/>
                <w:szCs w:val="18"/>
              </w:rPr>
              <w:t xml:space="preserve">strong evidence for PNE on disability or pain in the long term. </w:t>
            </w:r>
            <w:r w:rsidR="00F14E9A">
              <w:rPr>
                <w:sz w:val="18"/>
                <w:szCs w:val="18"/>
              </w:rPr>
              <w:t>They did not have specific recommendations for frequency or duration of PNE.</w:t>
            </w:r>
            <w:r w:rsidR="00234BAA">
              <w:rPr>
                <w:sz w:val="18"/>
                <w:szCs w:val="18"/>
              </w:rPr>
              <w:t xml:space="preserve"> They assert that the variety of PNE interventions in this study is a strength because it shows that multiple variations work and the specific type of PNE intervention can be adjusted t</w:t>
            </w:r>
            <w:r w:rsidR="00F10D23">
              <w:rPr>
                <w:sz w:val="18"/>
                <w:szCs w:val="18"/>
              </w:rPr>
              <w:t>o fit each patient’s specific needs.</w:t>
            </w:r>
          </w:p>
          <w:p w14:paraId="258C3005" w14:textId="77777777" w:rsidR="001D4F60" w:rsidRPr="002F16E1" w:rsidRDefault="001D4F60" w:rsidP="009E380F">
            <w:pPr>
              <w:spacing w:before="120" w:after="120"/>
              <w:jc w:val="right"/>
              <w:rPr>
                <w:sz w:val="18"/>
                <w:szCs w:val="18"/>
              </w:rPr>
            </w:pPr>
          </w:p>
        </w:tc>
      </w:tr>
      <w:tr w:rsidR="001D4F60" w:rsidRPr="002F16E1" w14:paraId="7DCF2093" w14:textId="77777777" w:rsidTr="001D4F60">
        <w:tc>
          <w:tcPr>
            <w:tcW w:w="10421" w:type="dxa"/>
            <w:shd w:val="clear" w:color="auto" w:fill="E6E6E6"/>
          </w:tcPr>
          <w:p w14:paraId="397FFB0E"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74B36994" w14:textId="77777777" w:rsidTr="001D4F60">
        <w:tc>
          <w:tcPr>
            <w:tcW w:w="10421" w:type="dxa"/>
            <w:shd w:val="clear" w:color="auto" w:fill="auto"/>
          </w:tcPr>
          <w:p w14:paraId="0E21951A" w14:textId="77777777" w:rsidR="001D4F60" w:rsidRPr="002F16E1" w:rsidRDefault="001D4F60" w:rsidP="009E380F">
            <w:pPr>
              <w:spacing w:before="120" w:after="120"/>
              <w:rPr>
                <w:b/>
                <w:sz w:val="18"/>
                <w:szCs w:val="18"/>
              </w:rPr>
            </w:pPr>
            <w:r w:rsidRPr="002F16E1">
              <w:rPr>
                <w:b/>
                <w:sz w:val="18"/>
                <w:szCs w:val="18"/>
              </w:rPr>
              <w:t>Validity</w:t>
            </w:r>
          </w:p>
          <w:p w14:paraId="3961B6ED" w14:textId="77777777" w:rsidR="001D4F60" w:rsidRPr="002F16E1" w:rsidRDefault="0000738B" w:rsidP="0000738B">
            <w:pPr>
              <w:spacing w:before="120" w:after="120"/>
              <w:rPr>
                <w:sz w:val="18"/>
                <w:szCs w:val="18"/>
              </w:rPr>
            </w:pPr>
            <w:r>
              <w:rPr>
                <w:sz w:val="18"/>
                <w:szCs w:val="18"/>
              </w:rPr>
              <w:t>[Summarize the internal and external validity of the study. Highlight key strengths and weaknesses. Comment on the overall evidence quality provided by this study.]</w:t>
            </w:r>
          </w:p>
        </w:tc>
      </w:tr>
      <w:tr w:rsidR="001D4F60" w:rsidRPr="002F16E1" w14:paraId="088F46DD" w14:textId="77777777" w:rsidTr="001D4F60">
        <w:tc>
          <w:tcPr>
            <w:tcW w:w="10421" w:type="dxa"/>
            <w:shd w:val="clear" w:color="auto" w:fill="auto"/>
          </w:tcPr>
          <w:p w14:paraId="21E6378C" w14:textId="6D96E250" w:rsidR="001D4F60" w:rsidRDefault="00BC696B" w:rsidP="009E380F">
            <w:pPr>
              <w:spacing w:before="120" w:after="120"/>
              <w:rPr>
                <w:sz w:val="18"/>
                <w:szCs w:val="18"/>
              </w:rPr>
            </w:pPr>
            <w:r>
              <w:rPr>
                <w:sz w:val="18"/>
                <w:szCs w:val="18"/>
              </w:rPr>
              <w:t>All the studies included in t</w:t>
            </w:r>
            <w:r w:rsidR="00F10D23">
              <w:rPr>
                <w:sz w:val="18"/>
                <w:szCs w:val="18"/>
              </w:rPr>
              <w:t>his systematic review and meta-analysis</w:t>
            </w:r>
            <w:r>
              <w:rPr>
                <w:sz w:val="18"/>
                <w:szCs w:val="18"/>
              </w:rPr>
              <w:t xml:space="preserve"> are RCTs, which </w:t>
            </w:r>
            <w:r w:rsidR="00F62C19">
              <w:rPr>
                <w:sz w:val="18"/>
                <w:szCs w:val="18"/>
              </w:rPr>
              <w:t>is</w:t>
            </w:r>
            <w:r>
              <w:rPr>
                <w:sz w:val="18"/>
                <w:szCs w:val="18"/>
              </w:rPr>
              <w:t xml:space="preserve"> the highest </w:t>
            </w:r>
            <w:r w:rsidR="00375C19">
              <w:rPr>
                <w:sz w:val="18"/>
                <w:szCs w:val="18"/>
              </w:rPr>
              <w:t xml:space="preserve">level of evidence for research studies. </w:t>
            </w:r>
            <w:r w:rsidR="00F160E0">
              <w:rPr>
                <w:sz w:val="18"/>
                <w:szCs w:val="18"/>
              </w:rPr>
              <w:t>They used the</w:t>
            </w:r>
            <w:r w:rsidR="00AC5BA8">
              <w:rPr>
                <w:sz w:val="18"/>
                <w:szCs w:val="18"/>
              </w:rPr>
              <w:t xml:space="preserve"> GRADE classification </w:t>
            </w:r>
            <w:r w:rsidR="00F87A59">
              <w:rPr>
                <w:sz w:val="18"/>
                <w:szCs w:val="18"/>
              </w:rPr>
              <w:t xml:space="preserve">to measure </w:t>
            </w:r>
            <w:r w:rsidR="00AC5BA8">
              <w:rPr>
                <w:sz w:val="18"/>
                <w:szCs w:val="18"/>
              </w:rPr>
              <w:t>risk of bias</w:t>
            </w:r>
            <w:r w:rsidR="00F160E0">
              <w:rPr>
                <w:sz w:val="18"/>
                <w:szCs w:val="18"/>
              </w:rPr>
              <w:t xml:space="preserve"> and found 1 article was </w:t>
            </w:r>
            <w:r w:rsidR="00ED6D29">
              <w:rPr>
                <w:sz w:val="18"/>
                <w:szCs w:val="18"/>
              </w:rPr>
              <w:t xml:space="preserve">a </w:t>
            </w:r>
            <w:r w:rsidR="00F160E0">
              <w:rPr>
                <w:sz w:val="18"/>
                <w:szCs w:val="18"/>
              </w:rPr>
              <w:t>high level of evidence</w:t>
            </w:r>
            <w:r w:rsidR="00ED6D29">
              <w:rPr>
                <w:sz w:val="18"/>
                <w:szCs w:val="18"/>
              </w:rPr>
              <w:t>, while the other 7 articles were moderate quality of evidence.</w:t>
            </w:r>
            <w:r w:rsidR="00630A84">
              <w:rPr>
                <w:sz w:val="18"/>
                <w:szCs w:val="18"/>
              </w:rPr>
              <w:t xml:space="preserve"> </w:t>
            </w:r>
            <w:r w:rsidR="00ED6D29">
              <w:rPr>
                <w:sz w:val="18"/>
                <w:szCs w:val="18"/>
              </w:rPr>
              <w:t xml:space="preserve"> Given that all the studies included were moderate to high quality RCTs, </w:t>
            </w:r>
            <w:r w:rsidR="005B132B">
              <w:rPr>
                <w:sz w:val="18"/>
                <w:szCs w:val="18"/>
              </w:rPr>
              <w:t>moderate to strong evidence was used to create the systematic review. For the systematic review itself, it scored an 8/8 on the NIH’s Quality Assessment for Systematic Reviews (attached to this assignment)</w:t>
            </w:r>
            <w:r w:rsidR="008513DC">
              <w:rPr>
                <w:sz w:val="18"/>
                <w:szCs w:val="18"/>
              </w:rPr>
              <w:t xml:space="preserve"> as the eligibility criteria was included, the literature search was comprehensive, full text articles were rated independently by both authors, and publication bis and heterogeneity were both assessed. </w:t>
            </w:r>
            <w:r w:rsidR="00EF5DAE">
              <w:rPr>
                <w:sz w:val="18"/>
                <w:szCs w:val="18"/>
              </w:rPr>
              <w:t xml:space="preserve">There is also the potential for publication bias in that 3/8 studies in that systematic review </w:t>
            </w:r>
            <w:r w:rsidR="00F62C19">
              <w:rPr>
                <w:sz w:val="18"/>
                <w:szCs w:val="18"/>
              </w:rPr>
              <w:t>were authored by prominent PNE authors who do receive monetary benefits from promoting PNE.</w:t>
            </w:r>
            <w:r w:rsidR="00ED6D29">
              <w:rPr>
                <w:sz w:val="18"/>
                <w:szCs w:val="18"/>
              </w:rPr>
              <w:t xml:space="preserve"> </w:t>
            </w:r>
            <w:r w:rsidR="00E7624E">
              <w:rPr>
                <w:sz w:val="18"/>
                <w:szCs w:val="18"/>
              </w:rPr>
              <w:t>For the meta-analysis</w:t>
            </w:r>
            <w:r w:rsidR="00692FFF">
              <w:rPr>
                <w:sz w:val="18"/>
                <w:szCs w:val="18"/>
              </w:rPr>
              <w:t xml:space="preserve">, the heterogeneity in the data between studies was high for measurements </w:t>
            </w:r>
            <w:r w:rsidR="001F703E">
              <w:rPr>
                <w:sz w:val="18"/>
                <w:szCs w:val="18"/>
              </w:rPr>
              <w:t>regarding</w:t>
            </w:r>
            <w:r w:rsidR="00692FFF">
              <w:rPr>
                <w:sz w:val="18"/>
                <w:szCs w:val="18"/>
              </w:rPr>
              <w:t xml:space="preserve"> pain </w:t>
            </w:r>
            <w:r w:rsidR="00DD4F58">
              <w:rPr>
                <w:sz w:val="18"/>
                <w:szCs w:val="18"/>
              </w:rPr>
              <w:t xml:space="preserve">outcomes, which decreases the strength of the </w:t>
            </w:r>
            <w:r w:rsidR="00DB2EA5">
              <w:rPr>
                <w:sz w:val="18"/>
                <w:szCs w:val="18"/>
              </w:rPr>
              <w:t>meta-analysis for this study.</w:t>
            </w:r>
          </w:p>
          <w:p w14:paraId="6C5D554F" w14:textId="1A82A531" w:rsidR="001D4F60" w:rsidRPr="00580607" w:rsidRDefault="001D4F60" w:rsidP="009E380F">
            <w:pPr>
              <w:spacing w:before="120" w:after="120"/>
              <w:rPr>
                <w:sz w:val="18"/>
                <w:szCs w:val="18"/>
              </w:rPr>
            </w:pPr>
          </w:p>
          <w:p w14:paraId="539EA791" w14:textId="77777777" w:rsidR="001D4F60" w:rsidRPr="00580607" w:rsidRDefault="001D4F60" w:rsidP="009E380F">
            <w:pPr>
              <w:spacing w:before="120" w:after="120"/>
              <w:jc w:val="right"/>
              <w:rPr>
                <w:sz w:val="18"/>
                <w:szCs w:val="18"/>
              </w:rPr>
            </w:pPr>
          </w:p>
        </w:tc>
      </w:tr>
      <w:tr w:rsidR="001D4F60" w:rsidRPr="002F16E1" w14:paraId="379B4D20" w14:textId="77777777" w:rsidTr="001D4F60">
        <w:tc>
          <w:tcPr>
            <w:tcW w:w="10421" w:type="dxa"/>
            <w:shd w:val="clear" w:color="auto" w:fill="auto"/>
          </w:tcPr>
          <w:p w14:paraId="7B9E2FF3" w14:textId="77777777" w:rsidR="001D4F60" w:rsidRPr="002F16E1" w:rsidRDefault="001D4F60" w:rsidP="009E380F">
            <w:pPr>
              <w:spacing w:before="120" w:after="120"/>
              <w:jc w:val="both"/>
              <w:rPr>
                <w:b/>
                <w:sz w:val="18"/>
                <w:szCs w:val="18"/>
              </w:rPr>
            </w:pPr>
            <w:r w:rsidRPr="002F16E1">
              <w:rPr>
                <w:b/>
                <w:sz w:val="18"/>
                <w:szCs w:val="18"/>
              </w:rPr>
              <w:lastRenderedPageBreak/>
              <w:t>Interpretation of Results</w:t>
            </w:r>
          </w:p>
          <w:p w14:paraId="7EA268CC" w14:textId="450ED15F" w:rsidR="001D4F60" w:rsidRPr="002F16E1" w:rsidRDefault="00F81BE7" w:rsidP="009E380F">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1D4F60" w:rsidRPr="002F16E1" w14:paraId="613428E7" w14:textId="77777777" w:rsidTr="0000738B">
        <w:trPr>
          <w:trHeight w:val="1365"/>
        </w:trPr>
        <w:tc>
          <w:tcPr>
            <w:tcW w:w="10421" w:type="dxa"/>
            <w:shd w:val="clear" w:color="auto" w:fill="auto"/>
          </w:tcPr>
          <w:p w14:paraId="2483C55E" w14:textId="06D8F887" w:rsidR="001D4F60" w:rsidRPr="00580607" w:rsidRDefault="00992DD1" w:rsidP="009E380F">
            <w:pPr>
              <w:spacing w:before="120" w:after="120"/>
              <w:rPr>
                <w:sz w:val="18"/>
                <w:szCs w:val="18"/>
              </w:rPr>
            </w:pPr>
            <w:r>
              <w:rPr>
                <w:sz w:val="18"/>
                <w:szCs w:val="18"/>
              </w:rPr>
              <w:t xml:space="preserve">While I was initially primarily focused on how PNE could change pain </w:t>
            </w:r>
            <w:r w:rsidR="00631913">
              <w:rPr>
                <w:sz w:val="18"/>
                <w:szCs w:val="18"/>
              </w:rPr>
              <w:t xml:space="preserve">outcomes in patients, Wood and Hendrick’s finding that there is moderate evidence that PNE could be </w:t>
            </w:r>
            <w:r w:rsidR="001927A4">
              <w:rPr>
                <w:sz w:val="18"/>
                <w:szCs w:val="18"/>
              </w:rPr>
              <w:t>e</w:t>
            </w:r>
            <w:r w:rsidR="00631913">
              <w:rPr>
                <w:sz w:val="18"/>
                <w:szCs w:val="18"/>
              </w:rPr>
              <w:t xml:space="preserve">ffective in the short term in improving disability is very important because </w:t>
            </w:r>
            <w:r w:rsidR="008513DC">
              <w:rPr>
                <w:sz w:val="18"/>
                <w:szCs w:val="18"/>
              </w:rPr>
              <w:t xml:space="preserve">decreasing a patient’s disability could help them improve their functional status and help them become more involved in their </w:t>
            </w:r>
            <w:r w:rsidR="00630A84">
              <w:rPr>
                <w:sz w:val="18"/>
                <w:szCs w:val="18"/>
              </w:rPr>
              <w:t>activities of daily living.</w:t>
            </w:r>
            <w:r w:rsidR="00BB226C">
              <w:rPr>
                <w:sz w:val="18"/>
                <w:szCs w:val="18"/>
              </w:rPr>
              <w:t xml:space="preserve"> There was both statistical significance and clinical significance </w:t>
            </w:r>
            <w:r w:rsidR="002E63D4">
              <w:rPr>
                <w:sz w:val="18"/>
                <w:szCs w:val="18"/>
              </w:rPr>
              <w:t>in the difference in change in disability based on the average improvement in the Roland Morris Disability Questionnaire score found following a meta-analysis using 5/8 studies and comparing it to its MCID</w:t>
            </w:r>
            <w:r w:rsidR="00630A84">
              <w:rPr>
                <w:sz w:val="18"/>
                <w:szCs w:val="18"/>
              </w:rPr>
              <w:t xml:space="preserve"> </w:t>
            </w:r>
            <w:r w:rsidR="002E63D4">
              <w:rPr>
                <w:sz w:val="18"/>
                <w:szCs w:val="18"/>
              </w:rPr>
              <w:t xml:space="preserve">of 2. </w:t>
            </w:r>
            <w:r w:rsidR="00630A84">
              <w:rPr>
                <w:sz w:val="18"/>
                <w:szCs w:val="18"/>
              </w:rPr>
              <w:t>While the potential for publication bias does exist</w:t>
            </w:r>
            <w:r w:rsidR="00934681">
              <w:rPr>
                <w:sz w:val="18"/>
                <w:szCs w:val="18"/>
              </w:rPr>
              <w:t xml:space="preserve"> due to the use of 3 articles authored by prominent PNE experts including </w:t>
            </w:r>
            <w:proofErr w:type="spellStart"/>
            <w:r w:rsidR="00934681">
              <w:rPr>
                <w:sz w:val="18"/>
                <w:szCs w:val="18"/>
              </w:rPr>
              <w:t>Louw</w:t>
            </w:r>
            <w:proofErr w:type="spellEnd"/>
            <w:r w:rsidR="00934681">
              <w:rPr>
                <w:sz w:val="18"/>
                <w:szCs w:val="18"/>
              </w:rPr>
              <w:t xml:space="preserve"> and Moseley, their articles were graded using the GRADE classification and were found to be of moderate quality with scores &gt;6/12</w:t>
            </w:r>
            <w:r w:rsidR="000A78D8">
              <w:rPr>
                <w:sz w:val="18"/>
                <w:szCs w:val="18"/>
              </w:rPr>
              <w:t xml:space="preserve"> and </w:t>
            </w:r>
            <w:proofErr w:type="spellStart"/>
            <w:r w:rsidR="000A78D8">
              <w:rPr>
                <w:sz w:val="18"/>
                <w:szCs w:val="18"/>
              </w:rPr>
              <w:t>Louw</w:t>
            </w:r>
            <w:proofErr w:type="spellEnd"/>
            <w:r w:rsidR="000A78D8">
              <w:rPr>
                <w:sz w:val="18"/>
                <w:szCs w:val="18"/>
              </w:rPr>
              <w:t xml:space="preserve"> et al 2016 article fulfilled 9/12 criteria. </w:t>
            </w:r>
            <w:r w:rsidR="002E63D4">
              <w:rPr>
                <w:sz w:val="18"/>
                <w:szCs w:val="18"/>
              </w:rPr>
              <w:t xml:space="preserve">Although there was not </w:t>
            </w:r>
            <w:r w:rsidR="00E57258">
              <w:rPr>
                <w:sz w:val="18"/>
                <w:szCs w:val="18"/>
              </w:rPr>
              <w:t>statistical significance for long term improvement</w:t>
            </w:r>
            <w:r w:rsidR="00D60980">
              <w:rPr>
                <w:sz w:val="18"/>
                <w:szCs w:val="18"/>
              </w:rPr>
              <w:t xml:space="preserve">, there were also only 2 studies that investigated long term improvement, which </w:t>
            </w:r>
            <w:r w:rsidR="004A5534">
              <w:rPr>
                <w:sz w:val="18"/>
                <w:szCs w:val="18"/>
              </w:rPr>
              <w:t xml:space="preserve">shows an area that use additional research. </w:t>
            </w:r>
          </w:p>
          <w:p w14:paraId="6E377944" w14:textId="77777777" w:rsidR="001D4F60" w:rsidRPr="00580607" w:rsidRDefault="001D4F60" w:rsidP="009E380F">
            <w:pPr>
              <w:spacing w:before="120" w:after="120"/>
              <w:jc w:val="right"/>
              <w:rPr>
                <w:sz w:val="18"/>
                <w:szCs w:val="18"/>
              </w:rPr>
            </w:pPr>
          </w:p>
        </w:tc>
      </w:tr>
      <w:tr w:rsidR="0000738B" w:rsidRPr="002F16E1" w14:paraId="0A3A2B23" w14:textId="77777777" w:rsidTr="0000738B">
        <w:trPr>
          <w:trHeight w:val="759"/>
        </w:trPr>
        <w:tc>
          <w:tcPr>
            <w:tcW w:w="10421" w:type="dxa"/>
            <w:shd w:val="clear" w:color="auto" w:fill="auto"/>
          </w:tcPr>
          <w:p w14:paraId="291201DB" w14:textId="77777777" w:rsidR="0000738B" w:rsidRPr="002F16E1" w:rsidRDefault="0000738B" w:rsidP="0000738B">
            <w:pPr>
              <w:spacing w:before="120" w:after="120"/>
              <w:jc w:val="both"/>
              <w:rPr>
                <w:b/>
                <w:sz w:val="18"/>
                <w:szCs w:val="18"/>
              </w:rPr>
            </w:pPr>
            <w:r>
              <w:rPr>
                <w:b/>
                <w:sz w:val="18"/>
                <w:szCs w:val="18"/>
              </w:rPr>
              <w:t>Applicability of Study Results</w:t>
            </w:r>
          </w:p>
          <w:p w14:paraId="32DE0387" w14:textId="77777777" w:rsidR="0000738B" w:rsidRPr="00580607" w:rsidRDefault="0000738B" w:rsidP="00D66665">
            <w:pPr>
              <w:spacing w:before="120" w:after="120"/>
              <w:rPr>
                <w:sz w:val="18"/>
                <w:szCs w:val="18"/>
              </w:rPr>
            </w:pPr>
            <w:r>
              <w:rPr>
                <w:sz w:val="18"/>
                <w:szCs w:val="18"/>
              </w:rPr>
              <w:t xml:space="preserve">[Describe </w:t>
            </w:r>
            <w:r w:rsidR="00D66665">
              <w:rPr>
                <w:sz w:val="18"/>
                <w:szCs w:val="18"/>
              </w:rPr>
              <w:t>the relevance and applicability of the study</w:t>
            </w:r>
            <w:r>
              <w:rPr>
                <w:sz w:val="18"/>
                <w:szCs w:val="18"/>
              </w:rPr>
              <w:t xml:space="preserve"> to your clinical question and scenario</w:t>
            </w:r>
            <w:r w:rsidR="00D66665">
              <w:rPr>
                <w:sz w:val="18"/>
                <w:szCs w:val="18"/>
              </w:rPr>
              <w:t>. Consider the practicality and feasibility of the intervention in your discussion of the evidence applicability.</w:t>
            </w:r>
            <w:r>
              <w:rPr>
                <w:sz w:val="18"/>
                <w:szCs w:val="18"/>
              </w:rPr>
              <w:t>]</w:t>
            </w:r>
          </w:p>
        </w:tc>
      </w:tr>
      <w:tr w:rsidR="0000738B" w:rsidRPr="002F16E1" w14:paraId="080FBFFA" w14:textId="77777777" w:rsidTr="001D4F60">
        <w:trPr>
          <w:trHeight w:val="1594"/>
        </w:trPr>
        <w:tc>
          <w:tcPr>
            <w:tcW w:w="10421" w:type="dxa"/>
            <w:tcBorders>
              <w:bottom w:val="single" w:sz="4" w:space="0" w:color="auto"/>
            </w:tcBorders>
            <w:shd w:val="clear" w:color="auto" w:fill="auto"/>
          </w:tcPr>
          <w:p w14:paraId="3C748663" w14:textId="649945F0" w:rsidR="0000738B" w:rsidRPr="00580607" w:rsidRDefault="002E63D4" w:rsidP="009E380F">
            <w:pPr>
              <w:spacing w:before="120" w:after="120"/>
              <w:rPr>
                <w:sz w:val="18"/>
                <w:szCs w:val="18"/>
              </w:rPr>
            </w:pPr>
            <w:r>
              <w:rPr>
                <w:sz w:val="18"/>
                <w:szCs w:val="18"/>
              </w:rPr>
              <w:t xml:space="preserve">The results of Wood and Hendrick’s systematic review and meta-analysis </w:t>
            </w:r>
            <w:r w:rsidR="00D60980">
              <w:rPr>
                <w:sz w:val="18"/>
                <w:szCs w:val="18"/>
              </w:rPr>
              <w:t xml:space="preserve">show the impact PNE can have on improving disability outcomes both when combined with physical therapy treatments and when used alone. </w:t>
            </w:r>
            <w:r w:rsidR="004A5534">
              <w:rPr>
                <w:sz w:val="18"/>
                <w:szCs w:val="18"/>
              </w:rPr>
              <w:t xml:space="preserve">For my patient, short term improvement could help with patient buy in </w:t>
            </w:r>
            <w:r w:rsidR="001310C7">
              <w:rPr>
                <w:sz w:val="18"/>
                <w:szCs w:val="18"/>
              </w:rPr>
              <w:t>and</w:t>
            </w:r>
            <w:r w:rsidR="004A5534">
              <w:rPr>
                <w:sz w:val="18"/>
                <w:szCs w:val="18"/>
              </w:rPr>
              <w:t xml:space="preserve"> improve her functional ability so that she could participate in more therapeutic exercise and will not be as limited by central sensitivity. </w:t>
            </w:r>
            <w:r w:rsidR="001310C7">
              <w:rPr>
                <w:sz w:val="18"/>
                <w:szCs w:val="18"/>
              </w:rPr>
              <w:t>There is also moderate evidence that</w:t>
            </w:r>
            <w:r w:rsidR="007B2FD8">
              <w:rPr>
                <w:sz w:val="18"/>
                <w:szCs w:val="18"/>
              </w:rPr>
              <w:t xml:space="preserve"> PNE will decrease reported pain levels when paired with therapeutic exercise, which shows evidence for using PNE to decrease pain levels, which can also help decrease the patient’s barrier to exercise. Since PNE does not require any special equipment, it is a feasible intervention, and the main cost will be the time used to implement it. Since other interventions have only had mild improvements in pain levels</w:t>
            </w:r>
            <w:r w:rsidR="00D06912">
              <w:rPr>
                <w:sz w:val="18"/>
                <w:szCs w:val="18"/>
              </w:rPr>
              <w:t xml:space="preserve">, the evidence from this article shows that </w:t>
            </w:r>
            <w:r w:rsidR="00984B55">
              <w:rPr>
                <w:sz w:val="18"/>
                <w:szCs w:val="18"/>
              </w:rPr>
              <w:t xml:space="preserve">the addition of PNE could help improve the patient’s pain and disability outcomes in the short term. </w:t>
            </w:r>
            <w:r w:rsidR="00FB07BF">
              <w:rPr>
                <w:sz w:val="18"/>
                <w:szCs w:val="18"/>
              </w:rPr>
              <w:t>Since rapport has already been developed with the patient</w:t>
            </w:r>
            <w:r w:rsidR="00282A68">
              <w:rPr>
                <w:sz w:val="18"/>
                <w:szCs w:val="18"/>
              </w:rPr>
              <w:t xml:space="preserve">, introducing PNE will be easier to introduce to this patient. </w:t>
            </w:r>
            <w:r w:rsidR="00984B55">
              <w:rPr>
                <w:sz w:val="18"/>
                <w:szCs w:val="18"/>
              </w:rPr>
              <w:t xml:space="preserve"> </w:t>
            </w:r>
          </w:p>
          <w:p w14:paraId="5D545A0E" w14:textId="77777777" w:rsidR="0000738B" w:rsidRPr="002F16E1" w:rsidRDefault="0000738B" w:rsidP="009E380F">
            <w:pPr>
              <w:spacing w:before="120" w:after="120"/>
              <w:jc w:val="right"/>
              <w:rPr>
                <w:b/>
                <w:sz w:val="18"/>
                <w:szCs w:val="18"/>
              </w:rPr>
            </w:pPr>
          </w:p>
        </w:tc>
      </w:tr>
    </w:tbl>
    <w:p w14:paraId="5F449B15" w14:textId="77777777" w:rsidR="001D4F60" w:rsidRDefault="001D4F60" w:rsidP="001D4F60">
      <w:pPr>
        <w:spacing w:before="240" w:after="240"/>
        <w:rPr>
          <w:b/>
          <w:sz w:val="18"/>
          <w:szCs w:val="18"/>
        </w:rPr>
      </w:pPr>
    </w:p>
    <w:p w14:paraId="65FE567C" w14:textId="000436A6" w:rsidR="001D4F60" w:rsidRDefault="001D4F60" w:rsidP="001D4F60">
      <w:pPr>
        <w:spacing w:before="240" w:after="240"/>
        <w:rPr>
          <w:b/>
          <w:sz w:val="18"/>
          <w:szCs w:val="18"/>
        </w:rPr>
      </w:pPr>
      <w:r>
        <w:rPr>
          <w:b/>
          <w:sz w:val="18"/>
          <w:szCs w:val="18"/>
        </w:rPr>
        <w:t xml:space="preserve">(2) </w:t>
      </w:r>
      <w:r w:rsidRPr="001D4F60">
        <w:rPr>
          <w:b/>
          <w:sz w:val="18"/>
          <w:szCs w:val="18"/>
        </w:rPr>
        <w:t xml:space="preserve">Description and appraisal of </w:t>
      </w:r>
      <w:r w:rsidR="003432D1">
        <w:rPr>
          <w:b/>
          <w:sz w:val="18"/>
          <w:szCs w:val="18"/>
        </w:rPr>
        <w:t xml:space="preserve">Blended-Learning Pain Neuroscience Education for People with Chronic Spinal </w:t>
      </w:r>
      <w:proofErr w:type="gramStart"/>
      <w:r w:rsidR="003432D1">
        <w:rPr>
          <w:b/>
          <w:sz w:val="18"/>
          <w:szCs w:val="18"/>
        </w:rPr>
        <w:t>Pain :</w:t>
      </w:r>
      <w:proofErr w:type="gramEnd"/>
      <w:r w:rsidR="003432D1">
        <w:rPr>
          <w:b/>
          <w:sz w:val="18"/>
          <w:szCs w:val="18"/>
        </w:rPr>
        <w:t xml:space="preserve"> Randomized Controlled </w:t>
      </w:r>
      <w:proofErr w:type="spellStart"/>
      <w:r w:rsidR="003432D1">
        <w:rPr>
          <w:b/>
          <w:sz w:val="18"/>
          <w:szCs w:val="18"/>
        </w:rPr>
        <w:t>Multicenter</w:t>
      </w:r>
      <w:proofErr w:type="spellEnd"/>
      <w:r w:rsidR="003432D1">
        <w:rPr>
          <w:b/>
          <w:sz w:val="18"/>
          <w:szCs w:val="18"/>
        </w:rPr>
        <w:t xml:space="preserve"> Trial </w:t>
      </w:r>
      <w:r w:rsidRPr="001D4F60">
        <w:rPr>
          <w:b/>
          <w:sz w:val="18"/>
          <w:szCs w:val="18"/>
        </w:rPr>
        <w:t>by (</w:t>
      </w:r>
      <w:proofErr w:type="spellStart"/>
      <w:r w:rsidR="003432D1">
        <w:rPr>
          <w:b/>
          <w:sz w:val="18"/>
          <w:szCs w:val="18"/>
        </w:rPr>
        <w:t>Mafliet</w:t>
      </w:r>
      <w:proofErr w:type="spellEnd"/>
      <w:r w:rsidR="003432D1">
        <w:rPr>
          <w:b/>
          <w:sz w:val="18"/>
          <w:szCs w:val="18"/>
        </w:rPr>
        <w:t xml:space="preserve"> et al</w:t>
      </w:r>
      <w:r w:rsidRPr="001D4F60">
        <w:rPr>
          <w:b/>
          <w:sz w:val="18"/>
          <w:szCs w:val="18"/>
        </w:rPr>
        <w:t xml:space="preserve">, </w:t>
      </w:r>
      <w:r w:rsidR="003432D1">
        <w:rPr>
          <w:b/>
          <w:sz w:val="18"/>
          <w:szCs w:val="18"/>
        </w:rPr>
        <w:t>2018</w:t>
      </w:r>
      <w:r w:rsidRPr="001D4F60">
        <w:rPr>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00738B" w:rsidRPr="002F16E1" w14:paraId="25650365" w14:textId="77777777" w:rsidTr="00B82150">
        <w:tc>
          <w:tcPr>
            <w:tcW w:w="10421" w:type="dxa"/>
            <w:shd w:val="clear" w:color="auto" w:fill="E6E6E6"/>
          </w:tcPr>
          <w:p w14:paraId="6948B56D" w14:textId="77777777" w:rsidR="0000738B" w:rsidRPr="002F16E1" w:rsidRDefault="0000738B" w:rsidP="00B82150">
            <w:pPr>
              <w:spacing w:before="120" w:after="120"/>
              <w:rPr>
                <w:b/>
                <w:sz w:val="18"/>
                <w:szCs w:val="18"/>
              </w:rPr>
            </w:pPr>
            <w:r w:rsidRPr="002F16E1">
              <w:rPr>
                <w:b/>
                <w:sz w:val="18"/>
                <w:szCs w:val="18"/>
              </w:rPr>
              <w:t>Aim/Objective of the Study/Systematic Review:</w:t>
            </w:r>
          </w:p>
        </w:tc>
      </w:tr>
      <w:tr w:rsidR="0000738B" w:rsidRPr="002F16E1" w14:paraId="0590EC07" w14:textId="77777777" w:rsidTr="00B82150">
        <w:tc>
          <w:tcPr>
            <w:tcW w:w="10421" w:type="dxa"/>
            <w:tcBorders>
              <w:bottom w:val="single" w:sz="4" w:space="0" w:color="auto"/>
            </w:tcBorders>
            <w:shd w:val="clear" w:color="auto" w:fill="auto"/>
          </w:tcPr>
          <w:p w14:paraId="2F4009A4" w14:textId="2492F346" w:rsidR="0000738B" w:rsidRPr="002F16E1" w:rsidRDefault="006821B3" w:rsidP="00B82150">
            <w:pPr>
              <w:spacing w:before="120" w:after="120"/>
              <w:rPr>
                <w:sz w:val="18"/>
                <w:szCs w:val="18"/>
              </w:rPr>
            </w:pPr>
            <w:r>
              <w:rPr>
                <w:sz w:val="18"/>
                <w:szCs w:val="18"/>
              </w:rPr>
              <w:t xml:space="preserve">The objective of this study was to investigate if blended learning PNE (use of online PNE media in conjunction to traditional education methods) could help participants improve disability, decrease fear avoidance </w:t>
            </w:r>
            <w:proofErr w:type="spellStart"/>
            <w:r>
              <w:rPr>
                <w:sz w:val="18"/>
                <w:szCs w:val="18"/>
              </w:rPr>
              <w:t>behaviors</w:t>
            </w:r>
            <w:proofErr w:type="spellEnd"/>
            <w:r>
              <w:rPr>
                <w:sz w:val="18"/>
                <w:szCs w:val="18"/>
              </w:rPr>
              <w:t>, and change perceptions of illness.</w:t>
            </w:r>
          </w:p>
          <w:p w14:paraId="46BEAB26" w14:textId="77777777" w:rsidR="0000738B" w:rsidRPr="002F16E1" w:rsidRDefault="0000738B" w:rsidP="00B82150">
            <w:pPr>
              <w:spacing w:before="120" w:after="120"/>
              <w:rPr>
                <w:sz w:val="18"/>
                <w:szCs w:val="18"/>
              </w:rPr>
            </w:pPr>
          </w:p>
          <w:p w14:paraId="1BB8B117" w14:textId="77777777" w:rsidR="0000738B" w:rsidRPr="002F16E1" w:rsidRDefault="0000738B" w:rsidP="00B82150">
            <w:pPr>
              <w:spacing w:before="120" w:after="120"/>
              <w:rPr>
                <w:sz w:val="18"/>
                <w:szCs w:val="18"/>
              </w:rPr>
            </w:pPr>
          </w:p>
          <w:p w14:paraId="176E827E" w14:textId="77777777" w:rsidR="0000738B" w:rsidRPr="002F16E1" w:rsidRDefault="0000738B" w:rsidP="00B82150">
            <w:pPr>
              <w:spacing w:before="120" w:after="120"/>
              <w:jc w:val="right"/>
              <w:rPr>
                <w:sz w:val="18"/>
                <w:szCs w:val="18"/>
              </w:rPr>
            </w:pPr>
          </w:p>
        </w:tc>
      </w:tr>
      <w:tr w:rsidR="0000738B" w:rsidRPr="002F16E1" w14:paraId="68334FA4" w14:textId="77777777" w:rsidTr="00B82150">
        <w:tc>
          <w:tcPr>
            <w:tcW w:w="10421" w:type="dxa"/>
            <w:shd w:val="clear" w:color="auto" w:fill="E6E6E6"/>
          </w:tcPr>
          <w:p w14:paraId="23BB6A43" w14:textId="77777777" w:rsidR="0000738B" w:rsidRPr="002F16E1" w:rsidRDefault="0000738B" w:rsidP="00B82150">
            <w:pPr>
              <w:spacing w:before="120" w:after="120"/>
              <w:jc w:val="both"/>
              <w:rPr>
                <w:b/>
                <w:sz w:val="18"/>
                <w:szCs w:val="18"/>
              </w:rPr>
            </w:pPr>
            <w:r w:rsidRPr="002F16E1">
              <w:rPr>
                <w:b/>
                <w:sz w:val="18"/>
                <w:szCs w:val="18"/>
              </w:rPr>
              <w:t>Study Design</w:t>
            </w:r>
          </w:p>
          <w:p w14:paraId="67E85C23" w14:textId="12AE33A7" w:rsidR="0000738B" w:rsidRPr="002F16E1" w:rsidRDefault="0000738B" w:rsidP="00B82150">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w:t>
            </w:r>
            <w:proofErr w:type="gramStart"/>
            <w:r w:rsidRPr="002F16E1">
              <w:rPr>
                <w:sz w:val="18"/>
                <w:szCs w:val="18"/>
              </w:rPr>
              <w:t>relevant]</w:t>
            </w:r>
            <w:proofErr w:type="gramEnd"/>
          </w:p>
          <w:p w14:paraId="582395B6" w14:textId="40004B8F" w:rsidR="0000738B" w:rsidRPr="002F16E1" w:rsidRDefault="0000738B" w:rsidP="00B82150">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00738B" w:rsidRPr="002F16E1" w14:paraId="42543D8F" w14:textId="77777777" w:rsidTr="00B82150">
        <w:tc>
          <w:tcPr>
            <w:tcW w:w="10421" w:type="dxa"/>
            <w:tcBorders>
              <w:bottom w:val="single" w:sz="4" w:space="0" w:color="auto"/>
            </w:tcBorders>
            <w:shd w:val="clear" w:color="auto" w:fill="auto"/>
          </w:tcPr>
          <w:p w14:paraId="231A681B" w14:textId="77777777" w:rsidR="00386665" w:rsidRDefault="006821B3" w:rsidP="00B82150">
            <w:pPr>
              <w:spacing w:before="120" w:after="120"/>
              <w:rPr>
                <w:sz w:val="18"/>
                <w:szCs w:val="18"/>
              </w:rPr>
            </w:pPr>
            <w:r>
              <w:rPr>
                <w:sz w:val="18"/>
                <w:szCs w:val="18"/>
              </w:rPr>
              <w:t>Randomised controlled trial</w:t>
            </w:r>
          </w:p>
          <w:p w14:paraId="3E1E8B19" w14:textId="2E8B2177" w:rsidR="00386665" w:rsidRDefault="00386665" w:rsidP="00B82150">
            <w:pPr>
              <w:spacing w:before="120" w:after="120"/>
              <w:rPr>
                <w:sz w:val="18"/>
                <w:szCs w:val="18"/>
              </w:rPr>
            </w:pPr>
            <w:r>
              <w:rPr>
                <w:sz w:val="18"/>
                <w:szCs w:val="18"/>
              </w:rPr>
              <w:lastRenderedPageBreak/>
              <w:t xml:space="preserve">Triple blind- The participants, the statistician who conducted data analysis, and the outcomes assessor who collected the data were all blinded. The participants and statistician did not know </w:t>
            </w:r>
            <w:r w:rsidR="00236E30">
              <w:rPr>
                <w:sz w:val="18"/>
                <w:szCs w:val="18"/>
              </w:rPr>
              <w:t xml:space="preserve">what the study’s hypothesis was and the outcomes assessor did not know the participants’ groups when collecting the data. </w:t>
            </w:r>
            <w:r w:rsidR="00B36E5B">
              <w:rPr>
                <w:sz w:val="18"/>
                <w:szCs w:val="18"/>
              </w:rPr>
              <w:t xml:space="preserve">The </w:t>
            </w:r>
            <w:r w:rsidR="009471F8">
              <w:rPr>
                <w:sz w:val="18"/>
                <w:szCs w:val="18"/>
              </w:rPr>
              <w:t xml:space="preserve">physical </w:t>
            </w:r>
            <w:r w:rsidR="00B36E5B">
              <w:rPr>
                <w:sz w:val="18"/>
                <w:szCs w:val="18"/>
              </w:rPr>
              <w:t xml:space="preserve">therapists who </w:t>
            </w:r>
            <w:r w:rsidR="003432D1">
              <w:rPr>
                <w:sz w:val="18"/>
                <w:szCs w:val="18"/>
              </w:rPr>
              <w:t>conducted the intervention were not blinded but only worked with the experimental group and not the control group.</w:t>
            </w:r>
          </w:p>
          <w:p w14:paraId="470D777B" w14:textId="6684906A" w:rsidR="00B36E5B" w:rsidRDefault="00B36E5B" w:rsidP="00B82150">
            <w:pPr>
              <w:spacing w:before="120" w:after="120"/>
              <w:rPr>
                <w:sz w:val="18"/>
                <w:szCs w:val="18"/>
              </w:rPr>
            </w:pPr>
            <w:r>
              <w:rPr>
                <w:sz w:val="18"/>
                <w:szCs w:val="18"/>
              </w:rPr>
              <w:t xml:space="preserve">Stratified permuted block allocation was used to randomize participants. </w:t>
            </w:r>
          </w:p>
          <w:p w14:paraId="76495020" w14:textId="45720191" w:rsidR="0000738B" w:rsidRPr="002F16E1" w:rsidRDefault="003432D1" w:rsidP="00B82150">
            <w:pPr>
              <w:spacing w:before="120" w:after="120"/>
              <w:rPr>
                <w:sz w:val="18"/>
                <w:szCs w:val="18"/>
              </w:rPr>
            </w:pPr>
            <w:r>
              <w:rPr>
                <w:sz w:val="18"/>
                <w:szCs w:val="18"/>
              </w:rPr>
              <w:t xml:space="preserve">Outcome measure was given to participants at baseline and then following 3 PNE education sessions. </w:t>
            </w:r>
          </w:p>
          <w:p w14:paraId="7593CE0A" w14:textId="77777777" w:rsidR="0000738B" w:rsidRPr="002F16E1" w:rsidRDefault="0000738B" w:rsidP="00B82150">
            <w:pPr>
              <w:spacing w:before="120" w:after="120"/>
              <w:jc w:val="right"/>
              <w:rPr>
                <w:sz w:val="18"/>
                <w:szCs w:val="18"/>
              </w:rPr>
            </w:pPr>
          </w:p>
        </w:tc>
      </w:tr>
      <w:tr w:rsidR="0000738B" w:rsidRPr="002F16E1" w14:paraId="0DF500FA" w14:textId="77777777" w:rsidTr="00B82150">
        <w:tc>
          <w:tcPr>
            <w:tcW w:w="10421" w:type="dxa"/>
            <w:shd w:val="clear" w:color="auto" w:fill="E6E6E6"/>
          </w:tcPr>
          <w:p w14:paraId="34CA6E64" w14:textId="77777777" w:rsidR="0000738B" w:rsidRPr="002F16E1" w:rsidRDefault="0000738B" w:rsidP="00B82150">
            <w:pPr>
              <w:spacing w:before="120" w:after="120"/>
              <w:rPr>
                <w:b/>
                <w:sz w:val="18"/>
                <w:szCs w:val="18"/>
              </w:rPr>
            </w:pPr>
            <w:r w:rsidRPr="002F16E1">
              <w:rPr>
                <w:b/>
                <w:sz w:val="18"/>
                <w:szCs w:val="18"/>
              </w:rPr>
              <w:lastRenderedPageBreak/>
              <w:t>Setting</w:t>
            </w:r>
          </w:p>
          <w:p w14:paraId="54F9CB31" w14:textId="77777777" w:rsidR="0000738B" w:rsidRPr="002F16E1" w:rsidRDefault="0000738B" w:rsidP="00B82150">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00738B" w:rsidRPr="002F16E1" w14:paraId="7D962707" w14:textId="77777777" w:rsidTr="00B82150">
        <w:tc>
          <w:tcPr>
            <w:tcW w:w="10421" w:type="dxa"/>
            <w:tcBorders>
              <w:bottom w:val="single" w:sz="4" w:space="0" w:color="auto"/>
            </w:tcBorders>
            <w:shd w:val="clear" w:color="auto" w:fill="auto"/>
          </w:tcPr>
          <w:p w14:paraId="4720BDCE" w14:textId="671CF1AF" w:rsidR="0000738B" w:rsidRPr="002F16E1" w:rsidRDefault="009471F8" w:rsidP="00B82150">
            <w:pPr>
              <w:spacing w:before="120" w:after="120"/>
              <w:rPr>
                <w:sz w:val="18"/>
                <w:szCs w:val="18"/>
              </w:rPr>
            </w:pPr>
            <w:r>
              <w:rPr>
                <w:sz w:val="18"/>
                <w:szCs w:val="18"/>
              </w:rPr>
              <w:t>University affiliated hospitals</w:t>
            </w:r>
          </w:p>
          <w:p w14:paraId="4E1E5B01" w14:textId="77777777" w:rsidR="0000738B" w:rsidRPr="002F16E1" w:rsidRDefault="0000738B" w:rsidP="004503EC">
            <w:pPr>
              <w:spacing w:before="120" w:after="120"/>
              <w:ind w:right="180"/>
              <w:jc w:val="right"/>
              <w:rPr>
                <w:sz w:val="18"/>
                <w:szCs w:val="18"/>
              </w:rPr>
            </w:pPr>
          </w:p>
        </w:tc>
      </w:tr>
      <w:tr w:rsidR="0000738B" w:rsidRPr="002F16E1" w14:paraId="24402B7E" w14:textId="77777777" w:rsidTr="00B82150">
        <w:tc>
          <w:tcPr>
            <w:tcW w:w="10421" w:type="dxa"/>
            <w:shd w:val="clear" w:color="auto" w:fill="E6E6E6"/>
          </w:tcPr>
          <w:p w14:paraId="04642671" w14:textId="77777777" w:rsidR="0000738B" w:rsidRPr="002F16E1" w:rsidRDefault="0000738B" w:rsidP="00B82150">
            <w:pPr>
              <w:spacing w:before="120" w:after="120"/>
              <w:rPr>
                <w:b/>
                <w:sz w:val="18"/>
                <w:szCs w:val="18"/>
              </w:rPr>
            </w:pPr>
            <w:r w:rsidRPr="002F16E1">
              <w:rPr>
                <w:b/>
                <w:sz w:val="18"/>
                <w:szCs w:val="18"/>
              </w:rPr>
              <w:t>Participants</w:t>
            </w:r>
          </w:p>
          <w:p w14:paraId="112369F0" w14:textId="77777777" w:rsidR="0000738B" w:rsidRDefault="0000738B" w:rsidP="00B82150">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16A3C819" w14:textId="79F682B9" w:rsidR="0000738B" w:rsidRPr="002F16E1" w:rsidRDefault="0000738B" w:rsidP="00B82150">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00738B" w:rsidRPr="002F16E1" w14:paraId="3446731E" w14:textId="77777777" w:rsidTr="00B82150">
        <w:tc>
          <w:tcPr>
            <w:tcW w:w="10421" w:type="dxa"/>
            <w:tcBorders>
              <w:bottom w:val="single" w:sz="4" w:space="0" w:color="auto"/>
            </w:tcBorders>
            <w:shd w:val="clear" w:color="auto" w:fill="auto"/>
          </w:tcPr>
          <w:p w14:paraId="4CD15465" w14:textId="437D5D44" w:rsidR="0000738B" w:rsidRDefault="009471F8" w:rsidP="00B82150">
            <w:pPr>
              <w:spacing w:before="120" w:after="120"/>
              <w:rPr>
                <w:sz w:val="18"/>
                <w:szCs w:val="18"/>
              </w:rPr>
            </w:pPr>
            <w:r>
              <w:rPr>
                <w:sz w:val="18"/>
                <w:szCs w:val="18"/>
              </w:rPr>
              <w:t>n= 120</w:t>
            </w:r>
          </w:p>
          <w:p w14:paraId="3B6FDB43" w14:textId="1E9AC7B4" w:rsidR="009471F8" w:rsidRDefault="009471F8" w:rsidP="00B82150">
            <w:pPr>
              <w:spacing w:before="120" w:after="120"/>
              <w:rPr>
                <w:sz w:val="18"/>
                <w:szCs w:val="18"/>
              </w:rPr>
            </w:pPr>
            <w:r>
              <w:rPr>
                <w:sz w:val="18"/>
                <w:szCs w:val="18"/>
              </w:rPr>
              <w:t>Diagnosis: nonspecific chronic spinal pain including low back pain, failed back surgery syndrome, chronic neck pain, chronic whiplash associated disorder</w:t>
            </w:r>
            <w:r w:rsidR="006331CD">
              <w:rPr>
                <w:sz w:val="18"/>
                <w:szCs w:val="18"/>
              </w:rPr>
              <w:t>; chronic low back pain comprised of the largest group in the study</w:t>
            </w:r>
          </w:p>
          <w:p w14:paraId="76110074" w14:textId="2DC15E85" w:rsidR="009471F8" w:rsidRDefault="009471F8" w:rsidP="00B82150">
            <w:pPr>
              <w:spacing w:before="120" w:after="120"/>
              <w:rPr>
                <w:sz w:val="18"/>
                <w:szCs w:val="18"/>
              </w:rPr>
            </w:pPr>
            <w:r>
              <w:rPr>
                <w:sz w:val="18"/>
                <w:szCs w:val="18"/>
              </w:rPr>
              <w:t xml:space="preserve">Recruitment: </w:t>
            </w:r>
            <w:r w:rsidR="00E67239">
              <w:rPr>
                <w:sz w:val="18"/>
                <w:szCs w:val="18"/>
              </w:rPr>
              <w:t>flyers at universities, university hospitals, and primary care clinics and social media. Individuals who contacted the researcher filled out a screening questionnaire</w:t>
            </w:r>
          </w:p>
          <w:p w14:paraId="56B05324" w14:textId="77777777" w:rsidR="006331CD" w:rsidRDefault="006331CD" w:rsidP="00B82150">
            <w:pPr>
              <w:spacing w:before="120" w:after="120"/>
              <w:rPr>
                <w:sz w:val="18"/>
                <w:szCs w:val="18"/>
              </w:rPr>
            </w:pPr>
            <w:r>
              <w:rPr>
                <w:sz w:val="18"/>
                <w:szCs w:val="18"/>
              </w:rPr>
              <w:t xml:space="preserve">Key demographics: </w:t>
            </w:r>
          </w:p>
          <w:p w14:paraId="5EB7A7D6" w14:textId="39959084" w:rsidR="0000738B" w:rsidRDefault="006331CD" w:rsidP="00B82150">
            <w:pPr>
              <w:spacing w:before="120" w:after="120"/>
              <w:rPr>
                <w:sz w:val="18"/>
                <w:szCs w:val="18"/>
              </w:rPr>
            </w:pPr>
            <w:r>
              <w:rPr>
                <w:sz w:val="18"/>
                <w:szCs w:val="18"/>
              </w:rPr>
              <w:t>-mean age: experimental group: 37.5</w:t>
            </w:r>
            <w:r w:rsidR="00C058D1">
              <w:rPr>
                <w:sz w:val="18"/>
                <w:szCs w:val="18"/>
              </w:rPr>
              <w:t xml:space="preserve"> years of age</w:t>
            </w:r>
            <w:r>
              <w:rPr>
                <w:sz w:val="18"/>
                <w:szCs w:val="18"/>
              </w:rPr>
              <w:t xml:space="preserve">; control group: </w:t>
            </w:r>
            <w:r w:rsidR="00C058D1">
              <w:rPr>
                <w:sz w:val="18"/>
                <w:szCs w:val="18"/>
              </w:rPr>
              <w:t>42 years of age</w:t>
            </w:r>
          </w:p>
          <w:p w14:paraId="221695FD" w14:textId="5CE2A504" w:rsidR="006331CD" w:rsidRDefault="006331CD" w:rsidP="00B82150">
            <w:pPr>
              <w:spacing w:before="120" w:after="120"/>
              <w:rPr>
                <w:sz w:val="18"/>
                <w:szCs w:val="18"/>
              </w:rPr>
            </w:pPr>
            <w:r>
              <w:rPr>
                <w:sz w:val="18"/>
                <w:szCs w:val="18"/>
              </w:rPr>
              <w:t>-gender:</w:t>
            </w:r>
            <w:r w:rsidR="00C058D1">
              <w:rPr>
                <w:sz w:val="18"/>
                <w:szCs w:val="18"/>
              </w:rPr>
              <w:t xml:space="preserve"> 73 F, 47 M</w:t>
            </w:r>
          </w:p>
          <w:p w14:paraId="349CD8C9" w14:textId="63C2285E" w:rsidR="006331CD" w:rsidRDefault="006331CD" w:rsidP="00B82150">
            <w:pPr>
              <w:spacing w:before="120" w:after="120"/>
              <w:rPr>
                <w:sz w:val="18"/>
                <w:szCs w:val="18"/>
              </w:rPr>
            </w:pPr>
            <w:r>
              <w:rPr>
                <w:sz w:val="18"/>
                <w:szCs w:val="18"/>
              </w:rPr>
              <w:t>-duration of illness/disease</w:t>
            </w:r>
            <w:r w:rsidR="00C058D1">
              <w:rPr>
                <w:sz w:val="18"/>
                <w:szCs w:val="18"/>
              </w:rPr>
              <w:t>: experimental group: 97 months (8.08 years), control group: 67 months</w:t>
            </w:r>
            <w:r w:rsidR="005F30E8">
              <w:rPr>
                <w:sz w:val="18"/>
                <w:szCs w:val="18"/>
              </w:rPr>
              <w:t xml:space="preserve"> (5.58 </w:t>
            </w:r>
            <w:r w:rsidR="00252633">
              <w:rPr>
                <w:sz w:val="18"/>
                <w:szCs w:val="18"/>
              </w:rPr>
              <w:t>years)</w:t>
            </w:r>
          </w:p>
          <w:p w14:paraId="1EE030E4" w14:textId="77428AB3" w:rsidR="005104C7" w:rsidRPr="002F16E1" w:rsidRDefault="00252633" w:rsidP="00B82150">
            <w:pPr>
              <w:spacing w:before="120" w:after="120"/>
              <w:rPr>
                <w:sz w:val="18"/>
                <w:szCs w:val="18"/>
              </w:rPr>
            </w:pPr>
            <w:r>
              <w:rPr>
                <w:sz w:val="18"/>
                <w:szCs w:val="18"/>
              </w:rPr>
              <w:t>8 individuals dropped out</w:t>
            </w:r>
            <w:r w:rsidR="00DB05B3">
              <w:rPr>
                <w:sz w:val="18"/>
                <w:szCs w:val="18"/>
              </w:rPr>
              <w:t xml:space="preserve"> before finishing the education sessions</w:t>
            </w:r>
            <w:r w:rsidR="00F83EE9">
              <w:rPr>
                <w:sz w:val="18"/>
                <w:szCs w:val="18"/>
              </w:rPr>
              <w:t>, but all participants were a part of analysis using the intention to treat principle</w:t>
            </w:r>
          </w:p>
          <w:p w14:paraId="46AEA03F" w14:textId="77777777" w:rsidR="0000738B" w:rsidRPr="002F16E1" w:rsidRDefault="0000738B" w:rsidP="00B82150">
            <w:pPr>
              <w:spacing w:before="120" w:after="120"/>
              <w:jc w:val="right"/>
              <w:rPr>
                <w:sz w:val="18"/>
                <w:szCs w:val="18"/>
              </w:rPr>
            </w:pPr>
          </w:p>
        </w:tc>
      </w:tr>
      <w:tr w:rsidR="0000738B" w:rsidRPr="002F16E1" w14:paraId="7F9FB7F0" w14:textId="77777777" w:rsidTr="00B82150">
        <w:tc>
          <w:tcPr>
            <w:tcW w:w="10421" w:type="dxa"/>
            <w:shd w:val="clear" w:color="auto" w:fill="E6E6E6"/>
          </w:tcPr>
          <w:p w14:paraId="0DBB24C3" w14:textId="77777777" w:rsidR="0000738B" w:rsidRPr="002F16E1" w:rsidRDefault="0000738B" w:rsidP="00B82150">
            <w:pPr>
              <w:spacing w:before="120" w:after="120"/>
              <w:rPr>
                <w:b/>
                <w:sz w:val="18"/>
                <w:szCs w:val="18"/>
              </w:rPr>
            </w:pPr>
            <w:r w:rsidRPr="002F16E1">
              <w:rPr>
                <w:b/>
                <w:sz w:val="18"/>
                <w:szCs w:val="18"/>
              </w:rPr>
              <w:t>Intervention Investigated</w:t>
            </w:r>
          </w:p>
          <w:p w14:paraId="5F7DFEAA" w14:textId="77777777" w:rsidR="0000738B" w:rsidRPr="002F16E1" w:rsidRDefault="0000738B" w:rsidP="00B82150">
            <w:pPr>
              <w:spacing w:before="120" w:after="120"/>
              <w:rPr>
                <w:sz w:val="18"/>
                <w:szCs w:val="18"/>
              </w:rPr>
            </w:pPr>
            <w:r w:rsidRPr="002F16E1">
              <w:rPr>
                <w:sz w:val="18"/>
                <w:szCs w:val="18"/>
              </w:rPr>
              <w:t>[Provide details of methods, who provided treatment, when and where, how many hours of treatment provided]</w:t>
            </w:r>
          </w:p>
        </w:tc>
      </w:tr>
      <w:tr w:rsidR="0000738B" w:rsidRPr="002F16E1" w14:paraId="6A16A0CB" w14:textId="77777777" w:rsidTr="00B82150">
        <w:tc>
          <w:tcPr>
            <w:tcW w:w="10421" w:type="dxa"/>
            <w:shd w:val="clear" w:color="auto" w:fill="auto"/>
          </w:tcPr>
          <w:p w14:paraId="2D607FE1" w14:textId="77777777" w:rsidR="0000738B" w:rsidRPr="002F16E1" w:rsidRDefault="0000738B" w:rsidP="00B82150">
            <w:pPr>
              <w:spacing w:before="120" w:after="120"/>
              <w:rPr>
                <w:i/>
                <w:sz w:val="18"/>
                <w:szCs w:val="18"/>
              </w:rPr>
            </w:pPr>
            <w:r w:rsidRPr="002F16E1">
              <w:rPr>
                <w:i/>
                <w:sz w:val="18"/>
                <w:szCs w:val="18"/>
              </w:rPr>
              <w:t>Control</w:t>
            </w:r>
          </w:p>
        </w:tc>
      </w:tr>
      <w:tr w:rsidR="0000738B" w:rsidRPr="002F16E1" w14:paraId="36560B32" w14:textId="77777777" w:rsidTr="00B82150">
        <w:tc>
          <w:tcPr>
            <w:tcW w:w="10421" w:type="dxa"/>
            <w:shd w:val="clear" w:color="auto" w:fill="auto"/>
          </w:tcPr>
          <w:p w14:paraId="01238595" w14:textId="42C3B26A" w:rsidR="0000738B" w:rsidRPr="002F16E1" w:rsidRDefault="00F83EE9" w:rsidP="00B82150">
            <w:pPr>
              <w:spacing w:before="120" w:after="120"/>
              <w:rPr>
                <w:sz w:val="18"/>
                <w:szCs w:val="18"/>
              </w:rPr>
            </w:pPr>
            <w:r>
              <w:rPr>
                <w:sz w:val="18"/>
                <w:szCs w:val="18"/>
              </w:rPr>
              <w:t>3 educational sessions with information on mechanical causes of neck and back pain</w:t>
            </w:r>
            <w:r w:rsidR="00EC639D">
              <w:rPr>
                <w:sz w:val="18"/>
                <w:szCs w:val="18"/>
              </w:rPr>
              <w:t xml:space="preserve">, anatomy, physiology, and biomechanics of spine, </w:t>
            </w:r>
            <w:proofErr w:type="spellStart"/>
            <w:r w:rsidR="00EC639D">
              <w:rPr>
                <w:sz w:val="18"/>
                <w:szCs w:val="18"/>
              </w:rPr>
              <w:t>ergonometry</w:t>
            </w:r>
            <w:proofErr w:type="spellEnd"/>
            <w:r w:rsidR="00EC639D">
              <w:rPr>
                <w:sz w:val="18"/>
                <w:szCs w:val="18"/>
              </w:rPr>
              <w:t xml:space="preserve"> and posture, lifting techniques, and education on the benefits of exercise with deliberately very little information on the nervous system. Educational sessions were conducted by physical therapists, but different PT compared to those that conducted the intervention treatment. The same format was provided for both groups, which was </w:t>
            </w:r>
            <w:r w:rsidR="004F350E">
              <w:rPr>
                <w:sz w:val="18"/>
                <w:szCs w:val="18"/>
              </w:rPr>
              <w:t xml:space="preserve">3 sessions within a </w:t>
            </w:r>
            <w:proofErr w:type="gramStart"/>
            <w:r w:rsidR="004F350E">
              <w:rPr>
                <w:sz w:val="18"/>
                <w:szCs w:val="18"/>
              </w:rPr>
              <w:t>2 week</w:t>
            </w:r>
            <w:proofErr w:type="gramEnd"/>
            <w:r w:rsidR="004F350E">
              <w:rPr>
                <w:sz w:val="18"/>
                <w:szCs w:val="18"/>
              </w:rPr>
              <w:t xml:space="preserve"> timeframe conducted by a PT. Session one was a small group session with a PowerPoint presentation with an educational booklet given. </w:t>
            </w:r>
            <w:r w:rsidR="00736F53">
              <w:rPr>
                <w:sz w:val="18"/>
                <w:szCs w:val="18"/>
              </w:rPr>
              <w:t>2</w:t>
            </w:r>
            <w:r w:rsidR="00736F53" w:rsidRPr="00736F53">
              <w:rPr>
                <w:sz w:val="18"/>
                <w:szCs w:val="18"/>
                <w:vertAlign w:val="superscript"/>
              </w:rPr>
              <w:t>nd</w:t>
            </w:r>
            <w:r w:rsidR="00736F53">
              <w:rPr>
                <w:sz w:val="18"/>
                <w:szCs w:val="18"/>
              </w:rPr>
              <w:t xml:space="preserve"> session comprised of an online learning that participants completed at home. 3</w:t>
            </w:r>
            <w:r w:rsidR="00736F53" w:rsidRPr="00736F53">
              <w:rPr>
                <w:sz w:val="18"/>
                <w:szCs w:val="18"/>
                <w:vertAlign w:val="superscript"/>
              </w:rPr>
              <w:t>rd</w:t>
            </w:r>
            <w:r w:rsidR="00736F53">
              <w:rPr>
                <w:sz w:val="18"/>
                <w:szCs w:val="18"/>
              </w:rPr>
              <w:t xml:space="preserve"> session was a </w:t>
            </w:r>
            <w:r w:rsidR="00302EA7">
              <w:rPr>
                <w:sz w:val="18"/>
                <w:szCs w:val="18"/>
              </w:rPr>
              <w:t>one-on-one</w:t>
            </w:r>
            <w:r w:rsidR="00736F53">
              <w:rPr>
                <w:sz w:val="18"/>
                <w:szCs w:val="18"/>
              </w:rPr>
              <w:t xml:space="preserve"> session with a PT</w:t>
            </w:r>
            <w:r w:rsidR="00B45A8E">
              <w:rPr>
                <w:sz w:val="18"/>
                <w:szCs w:val="18"/>
              </w:rPr>
              <w:t xml:space="preserve"> that was based on the participant’s individual needs. </w:t>
            </w:r>
          </w:p>
          <w:p w14:paraId="69D89EEE" w14:textId="77777777" w:rsidR="0000738B" w:rsidRPr="002F16E1" w:rsidRDefault="0000738B" w:rsidP="00B82150">
            <w:pPr>
              <w:spacing w:before="120" w:after="120"/>
              <w:rPr>
                <w:sz w:val="18"/>
                <w:szCs w:val="18"/>
              </w:rPr>
            </w:pPr>
          </w:p>
        </w:tc>
      </w:tr>
      <w:tr w:rsidR="0000738B" w:rsidRPr="002F16E1" w14:paraId="5876F255" w14:textId="77777777" w:rsidTr="00B82150">
        <w:tc>
          <w:tcPr>
            <w:tcW w:w="10421" w:type="dxa"/>
            <w:shd w:val="clear" w:color="auto" w:fill="auto"/>
          </w:tcPr>
          <w:p w14:paraId="1DF844DF" w14:textId="77777777" w:rsidR="0000738B" w:rsidRPr="002F16E1" w:rsidRDefault="0000738B" w:rsidP="00B82150">
            <w:pPr>
              <w:spacing w:before="120" w:after="120"/>
              <w:rPr>
                <w:i/>
                <w:sz w:val="18"/>
                <w:szCs w:val="18"/>
              </w:rPr>
            </w:pPr>
            <w:r w:rsidRPr="002F16E1">
              <w:rPr>
                <w:i/>
                <w:sz w:val="18"/>
                <w:szCs w:val="18"/>
              </w:rPr>
              <w:t>Experimental</w:t>
            </w:r>
          </w:p>
        </w:tc>
      </w:tr>
      <w:tr w:rsidR="0000738B" w:rsidRPr="002F16E1" w14:paraId="26D7282C" w14:textId="77777777" w:rsidTr="00B82150">
        <w:tc>
          <w:tcPr>
            <w:tcW w:w="10421" w:type="dxa"/>
            <w:tcBorders>
              <w:bottom w:val="single" w:sz="4" w:space="0" w:color="auto"/>
            </w:tcBorders>
            <w:shd w:val="clear" w:color="auto" w:fill="auto"/>
          </w:tcPr>
          <w:p w14:paraId="6F2BFD92" w14:textId="0CAE5DAC" w:rsidR="0000738B" w:rsidRPr="002F16E1" w:rsidRDefault="00B45A8E" w:rsidP="00B82150">
            <w:pPr>
              <w:spacing w:before="120" w:after="120"/>
              <w:rPr>
                <w:sz w:val="18"/>
                <w:szCs w:val="18"/>
              </w:rPr>
            </w:pPr>
            <w:r>
              <w:rPr>
                <w:sz w:val="18"/>
                <w:szCs w:val="18"/>
              </w:rPr>
              <w:t xml:space="preserve">3 sessions of PNE education using the same format listed above. PNE comprised of information involving the nervous system, especially the pain pathways and central and peripheral sensitization. It also covered the harm vs hurt principle and how pain does not always </w:t>
            </w:r>
            <w:r w:rsidR="001C1F71">
              <w:rPr>
                <w:sz w:val="18"/>
                <w:szCs w:val="18"/>
              </w:rPr>
              <w:t>equate MSK tissue damage.</w:t>
            </w:r>
          </w:p>
          <w:p w14:paraId="05ABB1F8" w14:textId="77777777" w:rsidR="0000738B" w:rsidRPr="002F16E1" w:rsidRDefault="0000738B" w:rsidP="00B82150">
            <w:pPr>
              <w:spacing w:before="120" w:after="120"/>
              <w:jc w:val="right"/>
              <w:rPr>
                <w:sz w:val="18"/>
                <w:szCs w:val="18"/>
              </w:rPr>
            </w:pPr>
          </w:p>
        </w:tc>
      </w:tr>
      <w:tr w:rsidR="0000738B" w:rsidRPr="002F16E1" w14:paraId="366F19F7" w14:textId="77777777" w:rsidTr="00B82150">
        <w:tc>
          <w:tcPr>
            <w:tcW w:w="10421" w:type="dxa"/>
            <w:shd w:val="clear" w:color="auto" w:fill="E6E6E6"/>
          </w:tcPr>
          <w:p w14:paraId="272CF8DA" w14:textId="77777777" w:rsidR="0000738B" w:rsidRPr="002F16E1" w:rsidRDefault="0000738B" w:rsidP="00B82150">
            <w:pPr>
              <w:spacing w:before="120" w:after="120"/>
              <w:rPr>
                <w:sz w:val="18"/>
                <w:szCs w:val="18"/>
              </w:rPr>
            </w:pPr>
            <w:r w:rsidRPr="002F16E1">
              <w:rPr>
                <w:b/>
                <w:sz w:val="18"/>
                <w:szCs w:val="18"/>
              </w:rPr>
              <w:lastRenderedPageBreak/>
              <w:t>Outcome Measures</w:t>
            </w:r>
          </w:p>
          <w:p w14:paraId="03538702" w14:textId="77777777" w:rsidR="0000738B" w:rsidRPr="002F16E1" w:rsidRDefault="0000738B" w:rsidP="00B82150">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00738B" w:rsidRPr="002F16E1" w14:paraId="21A3852F" w14:textId="77777777" w:rsidTr="00B82150">
        <w:tc>
          <w:tcPr>
            <w:tcW w:w="10421" w:type="dxa"/>
            <w:tcBorders>
              <w:bottom w:val="single" w:sz="4" w:space="0" w:color="auto"/>
            </w:tcBorders>
            <w:shd w:val="clear" w:color="auto" w:fill="auto"/>
          </w:tcPr>
          <w:tbl>
            <w:tblPr>
              <w:tblStyle w:val="TableGrid"/>
              <w:tblW w:w="0" w:type="auto"/>
              <w:tblLook w:val="04A0" w:firstRow="1" w:lastRow="0" w:firstColumn="1" w:lastColumn="0" w:noHBand="0" w:noVBand="1"/>
            </w:tblPr>
            <w:tblGrid>
              <w:gridCol w:w="3459"/>
              <w:gridCol w:w="3151"/>
              <w:gridCol w:w="3359"/>
            </w:tblGrid>
            <w:tr w:rsidR="001C1F71" w14:paraId="5407908D" w14:textId="77777777" w:rsidTr="001C1F71">
              <w:tc>
                <w:tcPr>
                  <w:tcW w:w="3537" w:type="dxa"/>
                </w:tcPr>
                <w:p w14:paraId="45759D2C" w14:textId="748B0DB3" w:rsidR="001C1F71" w:rsidRPr="00A623FC" w:rsidRDefault="001C1F71" w:rsidP="00B82150">
                  <w:pPr>
                    <w:spacing w:before="120" w:after="120"/>
                    <w:rPr>
                      <w:b/>
                      <w:bCs/>
                      <w:sz w:val="18"/>
                      <w:szCs w:val="18"/>
                    </w:rPr>
                  </w:pPr>
                  <w:r w:rsidRPr="00A623FC">
                    <w:rPr>
                      <w:b/>
                      <w:bCs/>
                      <w:sz w:val="18"/>
                      <w:szCs w:val="18"/>
                    </w:rPr>
                    <w:t>Test</w:t>
                  </w:r>
                </w:p>
              </w:tc>
              <w:tc>
                <w:tcPr>
                  <w:tcW w:w="3221" w:type="dxa"/>
                </w:tcPr>
                <w:p w14:paraId="4935C8FE" w14:textId="316C9C24" w:rsidR="001C1F71" w:rsidRPr="00A623FC" w:rsidRDefault="001C1F71" w:rsidP="00B82150">
                  <w:pPr>
                    <w:spacing w:before="120" w:after="120"/>
                    <w:rPr>
                      <w:b/>
                      <w:bCs/>
                      <w:sz w:val="18"/>
                      <w:szCs w:val="18"/>
                    </w:rPr>
                  </w:pPr>
                  <w:r w:rsidRPr="00A623FC">
                    <w:rPr>
                      <w:b/>
                      <w:bCs/>
                      <w:sz w:val="18"/>
                      <w:szCs w:val="18"/>
                    </w:rPr>
                    <w:t>Purpose</w:t>
                  </w:r>
                </w:p>
              </w:tc>
              <w:tc>
                <w:tcPr>
                  <w:tcW w:w="3437" w:type="dxa"/>
                </w:tcPr>
                <w:p w14:paraId="4C1B7295" w14:textId="6678F401" w:rsidR="001C1F71" w:rsidRPr="00A623FC" w:rsidRDefault="001C1F71" w:rsidP="00B82150">
                  <w:pPr>
                    <w:spacing w:before="120" w:after="120"/>
                    <w:rPr>
                      <w:b/>
                      <w:bCs/>
                      <w:sz w:val="18"/>
                      <w:szCs w:val="18"/>
                    </w:rPr>
                  </w:pPr>
                  <w:r w:rsidRPr="00A623FC">
                    <w:rPr>
                      <w:b/>
                      <w:bCs/>
                      <w:sz w:val="18"/>
                      <w:szCs w:val="18"/>
                    </w:rPr>
                    <w:t>Range</w:t>
                  </w:r>
                </w:p>
              </w:tc>
            </w:tr>
            <w:tr w:rsidR="001C1F71" w14:paraId="03F1EF60" w14:textId="77777777" w:rsidTr="001C1F71">
              <w:tc>
                <w:tcPr>
                  <w:tcW w:w="3537" w:type="dxa"/>
                </w:tcPr>
                <w:p w14:paraId="41414392" w14:textId="5EE9AC03" w:rsidR="001C1F71" w:rsidRDefault="001C1F71" w:rsidP="00B82150">
                  <w:pPr>
                    <w:spacing w:before="120" w:after="120"/>
                    <w:rPr>
                      <w:sz w:val="18"/>
                      <w:szCs w:val="18"/>
                    </w:rPr>
                  </w:pPr>
                  <w:r>
                    <w:rPr>
                      <w:sz w:val="18"/>
                      <w:szCs w:val="18"/>
                    </w:rPr>
                    <w:t>Pain Disability Index</w:t>
                  </w:r>
                  <w:r w:rsidR="0091619C">
                    <w:rPr>
                      <w:sz w:val="18"/>
                      <w:szCs w:val="18"/>
                    </w:rPr>
                    <w:t>*</w:t>
                  </w:r>
                </w:p>
              </w:tc>
              <w:tc>
                <w:tcPr>
                  <w:tcW w:w="3221" w:type="dxa"/>
                </w:tcPr>
                <w:p w14:paraId="7305F604" w14:textId="571B79E4" w:rsidR="001C1F71" w:rsidRDefault="001C1F71" w:rsidP="00B82150">
                  <w:pPr>
                    <w:spacing w:before="120" w:after="120"/>
                    <w:rPr>
                      <w:sz w:val="18"/>
                      <w:szCs w:val="18"/>
                    </w:rPr>
                  </w:pPr>
                  <w:r>
                    <w:rPr>
                      <w:sz w:val="18"/>
                      <w:szCs w:val="18"/>
                    </w:rPr>
                    <w:t>how pain affects ADLs</w:t>
                  </w:r>
                </w:p>
              </w:tc>
              <w:tc>
                <w:tcPr>
                  <w:tcW w:w="3437" w:type="dxa"/>
                </w:tcPr>
                <w:p w14:paraId="7FCA036A" w14:textId="0EA89C4B" w:rsidR="001C1F71" w:rsidRDefault="001C1F71" w:rsidP="00B82150">
                  <w:pPr>
                    <w:spacing w:before="120" w:after="120"/>
                    <w:rPr>
                      <w:sz w:val="18"/>
                      <w:szCs w:val="18"/>
                    </w:rPr>
                  </w:pPr>
                  <w:r>
                    <w:rPr>
                      <w:sz w:val="18"/>
                      <w:szCs w:val="18"/>
                    </w:rPr>
                    <w:t>0-70; higher score= greater disability</w:t>
                  </w:r>
                </w:p>
              </w:tc>
            </w:tr>
            <w:tr w:rsidR="001C1F71" w14:paraId="75227A10" w14:textId="77777777" w:rsidTr="001C1F71">
              <w:tc>
                <w:tcPr>
                  <w:tcW w:w="3537" w:type="dxa"/>
                </w:tcPr>
                <w:p w14:paraId="7378DEB5" w14:textId="0DE56A9D" w:rsidR="001C1F71" w:rsidRDefault="001C1F71" w:rsidP="00B82150">
                  <w:pPr>
                    <w:spacing w:before="120" w:after="120"/>
                    <w:rPr>
                      <w:sz w:val="18"/>
                      <w:szCs w:val="18"/>
                    </w:rPr>
                  </w:pPr>
                  <w:r>
                    <w:rPr>
                      <w:sz w:val="18"/>
                      <w:szCs w:val="18"/>
                    </w:rPr>
                    <w:t xml:space="preserve">Tampa Scale for </w:t>
                  </w:r>
                  <w:proofErr w:type="spellStart"/>
                  <w:r>
                    <w:rPr>
                      <w:sz w:val="18"/>
                      <w:szCs w:val="18"/>
                    </w:rPr>
                    <w:t>Kinesiophobia</w:t>
                  </w:r>
                  <w:proofErr w:type="spellEnd"/>
                </w:p>
              </w:tc>
              <w:tc>
                <w:tcPr>
                  <w:tcW w:w="3221" w:type="dxa"/>
                </w:tcPr>
                <w:p w14:paraId="312D5B67" w14:textId="3869924D" w:rsidR="001C1F71" w:rsidRDefault="000E172D" w:rsidP="00B82150">
                  <w:pPr>
                    <w:spacing w:before="120" w:after="120"/>
                    <w:rPr>
                      <w:sz w:val="18"/>
                      <w:szCs w:val="18"/>
                    </w:rPr>
                  </w:pPr>
                  <w:r>
                    <w:rPr>
                      <w:sz w:val="18"/>
                      <w:szCs w:val="18"/>
                    </w:rPr>
                    <w:t>rating fear of movement</w:t>
                  </w:r>
                </w:p>
              </w:tc>
              <w:tc>
                <w:tcPr>
                  <w:tcW w:w="3437" w:type="dxa"/>
                </w:tcPr>
                <w:p w14:paraId="7F04C5BA" w14:textId="2245A462" w:rsidR="001C1F71" w:rsidRDefault="00A501BD" w:rsidP="00B82150">
                  <w:pPr>
                    <w:spacing w:before="120" w:after="120"/>
                    <w:rPr>
                      <w:sz w:val="18"/>
                      <w:szCs w:val="18"/>
                    </w:rPr>
                  </w:pPr>
                  <w:r>
                    <w:rPr>
                      <w:sz w:val="18"/>
                      <w:szCs w:val="18"/>
                    </w:rPr>
                    <w:t>17-68; higher score= greater fear of movement</w:t>
                  </w:r>
                </w:p>
              </w:tc>
            </w:tr>
            <w:tr w:rsidR="001C1F71" w14:paraId="4A66425F" w14:textId="77777777" w:rsidTr="001C1F71">
              <w:tc>
                <w:tcPr>
                  <w:tcW w:w="3537" w:type="dxa"/>
                </w:tcPr>
                <w:p w14:paraId="46B19DA4" w14:textId="757E0AD8" w:rsidR="001C1F71" w:rsidRDefault="001C1F71" w:rsidP="00B82150">
                  <w:pPr>
                    <w:spacing w:before="120" w:after="120"/>
                    <w:rPr>
                      <w:sz w:val="18"/>
                      <w:szCs w:val="18"/>
                    </w:rPr>
                  </w:pPr>
                  <w:r>
                    <w:rPr>
                      <w:sz w:val="18"/>
                      <w:szCs w:val="18"/>
                    </w:rPr>
                    <w:t>Illness Perception Questionnaire</w:t>
                  </w:r>
                </w:p>
              </w:tc>
              <w:tc>
                <w:tcPr>
                  <w:tcW w:w="3221" w:type="dxa"/>
                </w:tcPr>
                <w:p w14:paraId="2591470E" w14:textId="2936AE9D" w:rsidR="001C1F71" w:rsidRDefault="003E791C" w:rsidP="00B82150">
                  <w:pPr>
                    <w:spacing w:before="120" w:after="120"/>
                    <w:rPr>
                      <w:sz w:val="18"/>
                      <w:szCs w:val="18"/>
                    </w:rPr>
                  </w:pPr>
                  <w:r>
                    <w:rPr>
                      <w:sz w:val="18"/>
                      <w:szCs w:val="18"/>
                    </w:rPr>
                    <w:t>self-perception of illness including causes, controllability, and consequences</w:t>
                  </w:r>
                </w:p>
              </w:tc>
              <w:tc>
                <w:tcPr>
                  <w:tcW w:w="3437" w:type="dxa"/>
                </w:tcPr>
                <w:p w14:paraId="26F970B9" w14:textId="70F22D23" w:rsidR="001C1F71" w:rsidRDefault="003E791C" w:rsidP="00B82150">
                  <w:pPr>
                    <w:spacing w:before="120" w:after="120"/>
                    <w:rPr>
                      <w:sz w:val="18"/>
                      <w:szCs w:val="18"/>
                    </w:rPr>
                  </w:pPr>
                  <w:r>
                    <w:rPr>
                      <w:sz w:val="18"/>
                      <w:szCs w:val="18"/>
                    </w:rPr>
                    <w:t xml:space="preserve">7 subscales where each subscale is scored separately. </w:t>
                  </w:r>
                  <w:r w:rsidR="00116875">
                    <w:rPr>
                      <w:sz w:val="18"/>
                      <w:szCs w:val="18"/>
                    </w:rPr>
                    <w:t>37 total items in questionnaire.</w:t>
                  </w:r>
                </w:p>
              </w:tc>
            </w:tr>
            <w:tr w:rsidR="001C1F71" w14:paraId="63C31902" w14:textId="77777777" w:rsidTr="001C1F71">
              <w:tc>
                <w:tcPr>
                  <w:tcW w:w="3537" w:type="dxa"/>
                </w:tcPr>
                <w:p w14:paraId="500D1632" w14:textId="2E011A6A" w:rsidR="001C1F71" w:rsidRDefault="001C1F71" w:rsidP="001C1F71">
                  <w:pPr>
                    <w:spacing w:before="120" w:after="120"/>
                    <w:rPr>
                      <w:sz w:val="18"/>
                      <w:szCs w:val="18"/>
                    </w:rPr>
                  </w:pPr>
                  <w:r w:rsidRPr="001C1F71">
                    <w:rPr>
                      <w:sz w:val="18"/>
                      <w:szCs w:val="18"/>
                    </w:rPr>
                    <w:t>Pain Catastrophizing Scale</w:t>
                  </w:r>
                </w:p>
              </w:tc>
              <w:tc>
                <w:tcPr>
                  <w:tcW w:w="3221" w:type="dxa"/>
                </w:tcPr>
                <w:p w14:paraId="5E347F3B" w14:textId="51CD48BD" w:rsidR="001C1F71" w:rsidRDefault="00ED55E3" w:rsidP="00B82150">
                  <w:pPr>
                    <w:spacing w:before="120" w:after="120"/>
                    <w:rPr>
                      <w:sz w:val="18"/>
                      <w:szCs w:val="18"/>
                    </w:rPr>
                  </w:pPr>
                  <w:r>
                    <w:rPr>
                      <w:sz w:val="18"/>
                      <w:szCs w:val="18"/>
                    </w:rPr>
                    <w:t>measures</w:t>
                  </w:r>
                  <w:r w:rsidR="00116875">
                    <w:rPr>
                      <w:sz w:val="18"/>
                      <w:szCs w:val="18"/>
                    </w:rPr>
                    <w:t xml:space="preserve"> degree of catastrophic thoughts</w:t>
                  </w:r>
                </w:p>
              </w:tc>
              <w:tc>
                <w:tcPr>
                  <w:tcW w:w="3437" w:type="dxa"/>
                </w:tcPr>
                <w:p w14:paraId="21195448" w14:textId="77EB750D" w:rsidR="001C1F71" w:rsidRDefault="00116875" w:rsidP="00B82150">
                  <w:pPr>
                    <w:spacing w:before="120" w:after="120"/>
                    <w:rPr>
                      <w:sz w:val="18"/>
                      <w:szCs w:val="18"/>
                    </w:rPr>
                  </w:pPr>
                  <w:r>
                    <w:rPr>
                      <w:sz w:val="18"/>
                      <w:szCs w:val="18"/>
                    </w:rPr>
                    <w:t>0-65; higher score= higher degree of catastrophic thoughts</w:t>
                  </w:r>
                </w:p>
              </w:tc>
            </w:tr>
            <w:tr w:rsidR="001C1F71" w14:paraId="17CA9308" w14:textId="77777777" w:rsidTr="001C1F71">
              <w:tc>
                <w:tcPr>
                  <w:tcW w:w="3537" w:type="dxa"/>
                </w:tcPr>
                <w:p w14:paraId="4EA34D2C" w14:textId="04EFB819" w:rsidR="001C1F71" w:rsidRDefault="001C1F71" w:rsidP="00B82150">
                  <w:pPr>
                    <w:spacing w:before="120" w:after="120"/>
                    <w:rPr>
                      <w:sz w:val="18"/>
                      <w:szCs w:val="18"/>
                    </w:rPr>
                  </w:pPr>
                  <w:r w:rsidRPr="001C1F71">
                    <w:rPr>
                      <w:sz w:val="18"/>
                      <w:szCs w:val="18"/>
                    </w:rPr>
                    <w:t>Pain Vigilance and Awareness Questionnaire</w:t>
                  </w:r>
                </w:p>
              </w:tc>
              <w:tc>
                <w:tcPr>
                  <w:tcW w:w="3221" w:type="dxa"/>
                </w:tcPr>
                <w:p w14:paraId="23F17656" w14:textId="2B63FAB0" w:rsidR="001C1F71" w:rsidRDefault="00ED55E3" w:rsidP="00B82150">
                  <w:pPr>
                    <w:spacing w:before="120" w:after="120"/>
                    <w:rPr>
                      <w:sz w:val="18"/>
                      <w:szCs w:val="18"/>
                    </w:rPr>
                  </w:pPr>
                  <w:r>
                    <w:rPr>
                      <w:sz w:val="18"/>
                      <w:szCs w:val="18"/>
                    </w:rPr>
                    <w:t>assesses awareness and attention to pain</w:t>
                  </w:r>
                </w:p>
              </w:tc>
              <w:tc>
                <w:tcPr>
                  <w:tcW w:w="3437" w:type="dxa"/>
                </w:tcPr>
                <w:p w14:paraId="69D47CF4" w14:textId="1536FAEC" w:rsidR="001C1F71" w:rsidRDefault="00403048" w:rsidP="00B82150">
                  <w:pPr>
                    <w:spacing w:before="120" w:after="120"/>
                    <w:rPr>
                      <w:sz w:val="18"/>
                      <w:szCs w:val="18"/>
                    </w:rPr>
                  </w:pPr>
                  <w:r>
                    <w:rPr>
                      <w:sz w:val="18"/>
                      <w:szCs w:val="18"/>
                    </w:rPr>
                    <w:t>0-80; higher score</w:t>
                  </w:r>
                  <w:r w:rsidR="00F24BFA">
                    <w:rPr>
                      <w:sz w:val="18"/>
                      <w:szCs w:val="18"/>
                    </w:rPr>
                    <w:t>= greater awareness and preoccupation with pain</w:t>
                  </w:r>
                </w:p>
              </w:tc>
            </w:tr>
          </w:tbl>
          <w:p w14:paraId="0850D696" w14:textId="3A11F2D6" w:rsidR="001C1F71" w:rsidRDefault="001C1F71" w:rsidP="00B82150">
            <w:pPr>
              <w:spacing w:before="120" w:after="120"/>
              <w:rPr>
                <w:sz w:val="18"/>
                <w:szCs w:val="18"/>
              </w:rPr>
            </w:pPr>
            <w:r>
              <w:rPr>
                <w:sz w:val="18"/>
                <w:szCs w:val="18"/>
              </w:rPr>
              <w:t>*Primary outcome measure</w:t>
            </w:r>
          </w:p>
          <w:p w14:paraId="77351846" w14:textId="7F1B6DDB" w:rsidR="0000738B" w:rsidRPr="002F16E1" w:rsidRDefault="001C1F71" w:rsidP="00B82150">
            <w:pPr>
              <w:spacing w:before="120" w:after="120"/>
              <w:rPr>
                <w:sz w:val="18"/>
                <w:szCs w:val="18"/>
              </w:rPr>
            </w:pPr>
            <w:r>
              <w:rPr>
                <w:sz w:val="18"/>
                <w:szCs w:val="18"/>
              </w:rPr>
              <w:t xml:space="preserve">All outcome measures were administered by physical therapist at the university affiliated hospitals where the intervention took place. </w:t>
            </w:r>
            <w:r w:rsidR="00ED55E3">
              <w:rPr>
                <w:sz w:val="18"/>
                <w:szCs w:val="18"/>
              </w:rPr>
              <w:t>The outcome measures were administered prior to the intervention or control and then again following the three</w:t>
            </w:r>
            <w:r w:rsidR="00A623FC">
              <w:rPr>
                <w:sz w:val="18"/>
                <w:szCs w:val="18"/>
              </w:rPr>
              <w:t xml:space="preserve"> education</w:t>
            </w:r>
            <w:r w:rsidR="00ED55E3">
              <w:rPr>
                <w:sz w:val="18"/>
                <w:szCs w:val="18"/>
              </w:rPr>
              <w:t xml:space="preserve"> sessions. </w:t>
            </w:r>
          </w:p>
          <w:p w14:paraId="4AF12EF7" w14:textId="77777777" w:rsidR="0000738B" w:rsidRPr="002F16E1" w:rsidRDefault="0000738B" w:rsidP="00B82150">
            <w:pPr>
              <w:spacing w:before="120" w:after="120"/>
              <w:jc w:val="right"/>
              <w:rPr>
                <w:sz w:val="18"/>
                <w:szCs w:val="18"/>
              </w:rPr>
            </w:pPr>
          </w:p>
        </w:tc>
      </w:tr>
      <w:tr w:rsidR="0000738B" w:rsidRPr="002F16E1" w14:paraId="49C30685" w14:textId="77777777" w:rsidTr="00B82150">
        <w:tc>
          <w:tcPr>
            <w:tcW w:w="10421" w:type="dxa"/>
            <w:tcBorders>
              <w:bottom w:val="single" w:sz="4" w:space="0" w:color="auto"/>
            </w:tcBorders>
            <w:shd w:val="clear" w:color="auto" w:fill="E6E6E6"/>
          </w:tcPr>
          <w:p w14:paraId="1939328B" w14:textId="77777777" w:rsidR="0000738B" w:rsidRPr="002F16E1" w:rsidRDefault="0000738B" w:rsidP="00B82150">
            <w:pPr>
              <w:spacing w:before="120" w:after="120"/>
              <w:rPr>
                <w:b/>
                <w:sz w:val="18"/>
                <w:szCs w:val="18"/>
              </w:rPr>
            </w:pPr>
            <w:r w:rsidRPr="002F16E1">
              <w:rPr>
                <w:b/>
                <w:sz w:val="18"/>
                <w:szCs w:val="18"/>
              </w:rPr>
              <w:t>Main Findings</w:t>
            </w:r>
          </w:p>
          <w:p w14:paraId="4254C980" w14:textId="77777777" w:rsidR="0000738B" w:rsidRPr="002F16E1" w:rsidRDefault="0000738B" w:rsidP="00B82150">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 Use a table to summarize results if possible.</w:t>
            </w:r>
            <w:r w:rsidRPr="002F16E1">
              <w:rPr>
                <w:sz w:val="18"/>
                <w:szCs w:val="18"/>
              </w:rPr>
              <w:t>]</w:t>
            </w:r>
          </w:p>
        </w:tc>
      </w:tr>
      <w:tr w:rsidR="0000738B" w:rsidRPr="002F16E1" w14:paraId="56774A6D" w14:textId="77777777" w:rsidTr="00B82150">
        <w:tc>
          <w:tcPr>
            <w:tcW w:w="10421" w:type="dxa"/>
            <w:tcBorders>
              <w:bottom w:val="single" w:sz="4" w:space="0" w:color="auto"/>
            </w:tcBorders>
            <w:shd w:val="clear" w:color="auto" w:fill="auto"/>
          </w:tcPr>
          <w:tbl>
            <w:tblPr>
              <w:tblStyle w:val="TableGrid"/>
              <w:tblW w:w="0" w:type="auto"/>
              <w:tblLook w:val="04A0" w:firstRow="1" w:lastRow="0" w:firstColumn="1" w:lastColumn="0" w:noHBand="0" w:noVBand="1"/>
            </w:tblPr>
            <w:tblGrid>
              <w:gridCol w:w="2216"/>
              <w:gridCol w:w="1771"/>
              <w:gridCol w:w="2028"/>
              <w:gridCol w:w="1976"/>
              <w:gridCol w:w="1978"/>
            </w:tblGrid>
            <w:tr w:rsidR="00FE55C3" w14:paraId="58CEFBDF" w14:textId="77777777" w:rsidTr="009A5DE0">
              <w:trPr>
                <w:trHeight w:val="723"/>
              </w:trPr>
              <w:tc>
                <w:tcPr>
                  <w:tcW w:w="2245" w:type="dxa"/>
                </w:tcPr>
                <w:p w14:paraId="13125AEB" w14:textId="1AF9C9E0" w:rsidR="00FE55C3" w:rsidRDefault="00FE55C3" w:rsidP="00B82150">
                  <w:pPr>
                    <w:spacing w:before="120" w:after="120"/>
                    <w:rPr>
                      <w:sz w:val="18"/>
                      <w:szCs w:val="18"/>
                    </w:rPr>
                  </w:pPr>
                  <w:r>
                    <w:rPr>
                      <w:sz w:val="18"/>
                      <w:szCs w:val="18"/>
                    </w:rPr>
                    <w:t>Test</w:t>
                  </w:r>
                </w:p>
              </w:tc>
              <w:tc>
                <w:tcPr>
                  <w:tcW w:w="1800" w:type="dxa"/>
                </w:tcPr>
                <w:p w14:paraId="423697FA" w14:textId="323668BC" w:rsidR="00FE55C3" w:rsidRDefault="00622D7A" w:rsidP="00B82150">
                  <w:pPr>
                    <w:spacing w:before="120" w:after="120"/>
                    <w:rPr>
                      <w:sz w:val="18"/>
                      <w:szCs w:val="18"/>
                    </w:rPr>
                  </w:pPr>
                  <w:r>
                    <w:rPr>
                      <w:sz w:val="18"/>
                      <w:szCs w:val="18"/>
                    </w:rPr>
                    <w:t xml:space="preserve">Mean </w:t>
                  </w:r>
                  <w:r w:rsidR="00D5225F">
                    <w:rPr>
                      <w:sz w:val="18"/>
                      <w:szCs w:val="18"/>
                    </w:rPr>
                    <w:t xml:space="preserve">Group </w:t>
                  </w:r>
                  <w:r>
                    <w:rPr>
                      <w:sz w:val="18"/>
                      <w:szCs w:val="18"/>
                    </w:rPr>
                    <w:t>Difference</w:t>
                  </w:r>
                  <w:r w:rsidR="009A5DE0">
                    <w:rPr>
                      <w:sz w:val="18"/>
                      <w:szCs w:val="18"/>
                    </w:rPr>
                    <w:t xml:space="preserve"> (post education)</w:t>
                  </w:r>
                </w:p>
              </w:tc>
              <w:tc>
                <w:tcPr>
                  <w:tcW w:w="2069" w:type="dxa"/>
                </w:tcPr>
                <w:p w14:paraId="43712AE9" w14:textId="2DA6D30B" w:rsidR="00FE55C3" w:rsidRDefault="00622D7A" w:rsidP="00B82150">
                  <w:pPr>
                    <w:spacing w:before="120" w:after="120"/>
                    <w:rPr>
                      <w:sz w:val="18"/>
                      <w:szCs w:val="18"/>
                    </w:rPr>
                  </w:pPr>
                  <w:r>
                    <w:rPr>
                      <w:sz w:val="18"/>
                      <w:szCs w:val="18"/>
                    </w:rPr>
                    <w:t>95% confidence interval</w:t>
                  </w:r>
                </w:p>
              </w:tc>
              <w:tc>
                <w:tcPr>
                  <w:tcW w:w="2038" w:type="dxa"/>
                </w:tcPr>
                <w:p w14:paraId="6788055C" w14:textId="29E72EA8" w:rsidR="00FE55C3" w:rsidRDefault="009A5DE0" w:rsidP="00B82150">
                  <w:pPr>
                    <w:spacing w:before="120" w:after="120"/>
                    <w:rPr>
                      <w:sz w:val="18"/>
                      <w:szCs w:val="18"/>
                    </w:rPr>
                  </w:pPr>
                  <w:r>
                    <w:rPr>
                      <w:sz w:val="18"/>
                      <w:szCs w:val="18"/>
                    </w:rPr>
                    <w:t xml:space="preserve">MCID </w:t>
                  </w:r>
                </w:p>
              </w:tc>
              <w:tc>
                <w:tcPr>
                  <w:tcW w:w="2038" w:type="dxa"/>
                </w:tcPr>
                <w:p w14:paraId="684276A8" w14:textId="54C2599B" w:rsidR="00FE55C3" w:rsidRDefault="009A5DE0" w:rsidP="00B82150">
                  <w:pPr>
                    <w:spacing w:before="120" w:after="120"/>
                    <w:rPr>
                      <w:sz w:val="18"/>
                      <w:szCs w:val="18"/>
                    </w:rPr>
                  </w:pPr>
                  <w:r>
                    <w:rPr>
                      <w:sz w:val="18"/>
                      <w:szCs w:val="18"/>
                    </w:rPr>
                    <w:t>Effect size of PNE group</w:t>
                  </w:r>
                </w:p>
              </w:tc>
            </w:tr>
            <w:tr w:rsidR="00FE55C3" w14:paraId="27BA0171" w14:textId="77777777" w:rsidTr="009A5DE0">
              <w:tc>
                <w:tcPr>
                  <w:tcW w:w="2245" w:type="dxa"/>
                </w:tcPr>
                <w:p w14:paraId="17A188FC" w14:textId="617DA843" w:rsidR="00FE55C3" w:rsidRDefault="009A5DE0" w:rsidP="00B82150">
                  <w:pPr>
                    <w:spacing w:before="120" w:after="120"/>
                    <w:rPr>
                      <w:sz w:val="18"/>
                      <w:szCs w:val="18"/>
                    </w:rPr>
                  </w:pPr>
                  <w:r>
                    <w:rPr>
                      <w:sz w:val="18"/>
                      <w:szCs w:val="18"/>
                    </w:rPr>
                    <w:t>Pain Disability Index</w:t>
                  </w:r>
                </w:p>
              </w:tc>
              <w:tc>
                <w:tcPr>
                  <w:tcW w:w="1800" w:type="dxa"/>
                </w:tcPr>
                <w:p w14:paraId="2B10DF66" w14:textId="38C63A97" w:rsidR="00FE55C3" w:rsidRDefault="009A5DE0" w:rsidP="00B82150">
                  <w:pPr>
                    <w:spacing w:before="120" w:after="120"/>
                    <w:rPr>
                      <w:sz w:val="18"/>
                      <w:szCs w:val="18"/>
                    </w:rPr>
                  </w:pPr>
                  <w:r>
                    <w:rPr>
                      <w:sz w:val="18"/>
                      <w:szCs w:val="18"/>
                    </w:rPr>
                    <w:t>1.84</w:t>
                  </w:r>
                </w:p>
              </w:tc>
              <w:tc>
                <w:tcPr>
                  <w:tcW w:w="2069" w:type="dxa"/>
                </w:tcPr>
                <w:p w14:paraId="41571A35" w14:textId="03D8ABE4" w:rsidR="00FE55C3" w:rsidRDefault="009A5DE0" w:rsidP="00B82150">
                  <w:pPr>
                    <w:spacing w:before="120" w:after="120"/>
                    <w:rPr>
                      <w:sz w:val="18"/>
                      <w:szCs w:val="18"/>
                    </w:rPr>
                  </w:pPr>
                  <w:r>
                    <w:rPr>
                      <w:sz w:val="18"/>
                      <w:szCs w:val="18"/>
                    </w:rPr>
                    <w:t>-2.8 to 6.47</w:t>
                  </w:r>
                </w:p>
              </w:tc>
              <w:tc>
                <w:tcPr>
                  <w:tcW w:w="2038" w:type="dxa"/>
                </w:tcPr>
                <w:p w14:paraId="4595280A" w14:textId="43B79DFE" w:rsidR="00FE55C3" w:rsidRDefault="009A5DE0" w:rsidP="00B82150">
                  <w:pPr>
                    <w:spacing w:before="120" w:after="120"/>
                    <w:rPr>
                      <w:sz w:val="18"/>
                      <w:szCs w:val="18"/>
                    </w:rPr>
                  </w:pPr>
                  <w:r>
                    <w:rPr>
                      <w:sz w:val="18"/>
                      <w:szCs w:val="18"/>
                    </w:rPr>
                    <w:t>7.04</w:t>
                  </w:r>
                </w:p>
              </w:tc>
              <w:tc>
                <w:tcPr>
                  <w:tcW w:w="2038" w:type="dxa"/>
                </w:tcPr>
                <w:p w14:paraId="062DD7BC" w14:textId="6387A4D3" w:rsidR="00FE55C3" w:rsidRDefault="009A5DE0" w:rsidP="00B82150">
                  <w:pPr>
                    <w:spacing w:before="120" w:after="120"/>
                    <w:rPr>
                      <w:sz w:val="18"/>
                      <w:szCs w:val="18"/>
                    </w:rPr>
                  </w:pPr>
                  <w:r>
                    <w:rPr>
                      <w:sz w:val="18"/>
                      <w:szCs w:val="18"/>
                    </w:rPr>
                    <w:t>0.07</w:t>
                  </w:r>
                </w:p>
              </w:tc>
            </w:tr>
            <w:tr w:rsidR="009A5DE0" w14:paraId="03D23368" w14:textId="77777777" w:rsidTr="009A5DE0">
              <w:tc>
                <w:tcPr>
                  <w:tcW w:w="2245" w:type="dxa"/>
                </w:tcPr>
                <w:p w14:paraId="25D62418" w14:textId="16FD31C1" w:rsidR="009A5DE0" w:rsidRDefault="009A5DE0" w:rsidP="009A5DE0">
                  <w:pPr>
                    <w:spacing w:before="120" w:after="120"/>
                    <w:rPr>
                      <w:sz w:val="18"/>
                      <w:szCs w:val="18"/>
                    </w:rPr>
                  </w:pPr>
                  <w:r>
                    <w:rPr>
                      <w:sz w:val="18"/>
                      <w:szCs w:val="18"/>
                    </w:rPr>
                    <w:t xml:space="preserve">Tampa Scale for </w:t>
                  </w:r>
                  <w:proofErr w:type="spellStart"/>
                  <w:r>
                    <w:rPr>
                      <w:sz w:val="18"/>
                      <w:szCs w:val="18"/>
                    </w:rPr>
                    <w:t>Kinesiophobia</w:t>
                  </w:r>
                  <w:proofErr w:type="spellEnd"/>
                </w:p>
              </w:tc>
              <w:tc>
                <w:tcPr>
                  <w:tcW w:w="1800" w:type="dxa"/>
                </w:tcPr>
                <w:p w14:paraId="2333709B" w14:textId="53DD987F" w:rsidR="009A5DE0" w:rsidRDefault="009A5DE0" w:rsidP="009A5DE0">
                  <w:pPr>
                    <w:spacing w:before="120" w:after="120"/>
                    <w:rPr>
                      <w:sz w:val="18"/>
                      <w:szCs w:val="18"/>
                    </w:rPr>
                  </w:pPr>
                  <w:r>
                    <w:rPr>
                      <w:sz w:val="18"/>
                      <w:szCs w:val="18"/>
                    </w:rPr>
                    <w:t>5.42</w:t>
                  </w:r>
                </w:p>
              </w:tc>
              <w:tc>
                <w:tcPr>
                  <w:tcW w:w="2069" w:type="dxa"/>
                </w:tcPr>
                <w:p w14:paraId="0773B384" w14:textId="1F30F488" w:rsidR="009A5DE0" w:rsidRDefault="009A5DE0" w:rsidP="009A5DE0">
                  <w:pPr>
                    <w:spacing w:before="120" w:after="120"/>
                    <w:rPr>
                      <w:sz w:val="18"/>
                      <w:szCs w:val="18"/>
                    </w:rPr>
                  </w:pPr>
                  <w:r>
                    <w:rPr>
                      <w:sz w:val="18"/>
                      <w:szCs w:val="18"/>
                    </w:rPr>
                    <w:t>2.86 to 7.97</w:t>
                  </w:r>
                </w:p>
              </w:tc>
              <w:tc>
                <w:tcPr>
                  <w:tcW w:w="2038" w:type="dxa"/>
                </w:tcPr>
                <w:p w14:paraId="7CBA942F" w14:textId="0103C6CA" w:rsidR="009A5DE0" w:rsidRDefault="001F3CA7" w:rsidP="009A5DE0">
                  <w:pPr>
                    <w:spacing w:before="120" w:after="120"/>
                    <w:rPr>
                      <w:sz w:val="18"/>
                      <w:szCs w:val="18"/>
                    </w:rPr>
                  </w:pPr>
                  <w:r>
                    <w:rPr>
                      <w:sz w:val="18"/>
                      <w:szCs w:val="18"/>
                    </w:rPr>
                    <w:t>3.49</w:t>
                  </w:r>
                </w:p>
              </w:tc>
              <w:tc>
                <w:tcPr>
                  <w:tcW w:w="2038" w:type="dxa"/>
                </w:tcPr>
                <w:p w14:paraId="1CD3C8FC" w14:textId="7810A161" w:rsidR="009A5DE0" w:rsidRDefault="001F3CA7" w:rsidP="009A5DE0">
                  <w:pPr>
                    <w:spacing w:before="120" w:after="120"/>
                    <w:rPr>
                      <w:sz w:val="18"/>
                      <w:szCs w:val="18"/>
                    </w:rPr>
                  </w:pPr>
                  <w:r>
                    <w:rPr>
                      <w:sz w:val="18"/>
                      <w:szCs w:val="18"/>
                    </w:rPr>
                    <w:t>0.56</w:t>
                  </w:r>
                </w:p>
              </w:tc>
            </w:tr>
            <w:tr w:rsidR="009A5DE0" w14:paraId="70B9F9B6" w14:textId="77777777" w:rsidTr="009A5DE0">
              <w:tc>
                <w:tcPr>
                  <w:tcW w:w="2245" w:type="dxa"/>
                </w:tcPr>
                <w:p w14:paraId="320AD7AD" w14:textId="621F33C5" w:rsidR="009A5DE0" w:rsidRDefault="009A5DE0" w:rsidP="009A5DE0">
                  <w:pPr>
                    <w:spacing w:before="120" w:after="120"/>
                    <w:rPr>
                      <w:sz w:val="18"/>
                      <w:szCs w:val="18"/>
                    </w:rPr>
                  </w:pPr>
                  <w:r>
                    <w:rPr>
                      <w:sz w:val="18"/>
                      <w:szCs w:val="18"/>
                    </w:rPr>
                    <w:t>Illness Perception Questionnaire</w:t>
                  </w:r>
                  <w:r w:rsidR="001F3CA7">
                    <w:rPr>
                      <w:sz w:val="18"/>
                      <w:szCs w:val="18"/>
                    </w:rPr>
                    <w:t xml:space="preserve"> for Timeline acute/chronic</w:t>
                  </w:r>
                </w:p>
              </w:tc>
              <w:tc>
                <w:tcPr>
                  <w:tcW w:w="1800" w:type="dxa"/>
                </w:tcPr>
                <w:p w14:paraId="6500D8D8" w14:textId="21B4F15A" w:rsidR="009A5DE0" w:rsidRDefault="001C54B0" w:rsidP="009A5DE0">
                  <w:pPr>
                    <w:spacing w:before="120" w:after="120"/>
                    <w:rPr>
                      <w:sz w:val="18"/>
                      <w:szCs w:val="18"/>
                    </w:rPr>
                  </w:pPr>
                  <w:r>
                    <w:rPr>
                      <w:sz w:val="18"/>
                      <w:szCs w:val="18"/>
                    </w:rPr>
                    <w:t>1.67</w:t>
                  </w:r>
                </w:p>
              </w:tc>
              <w:tc>
                <w:tcPr>
                  <w:tcW w:w="2069" w:type="dxa"/>
                </w:tcPr>
                <w:p w14:paraId="6C8BBDDE" w14:textId="20646ADA" w:rsidR="009A5DE0" w:rsidRDefault="001C54B0" w:rsidP="009A5DE0">
                  <w:pPr>
                    <w:spacing w:before="120" w:after="120"/>
                    <w:rPr>
                      <w:sz w:val="18"/>
                      <w:szCs w:val="18"/>
                    </w:rPr>
                  </w:pPr>
                  <w:r>
                    <w:rPr>
                      <w:sz w:val="18"/>
                      <w:szCs w:val="18"/>
                    </w:rPr>
                    <w:t>0.02 to 3.31</w:t>
                  </w:r>
                </w:p>
              </w:tc>
              <w:tc>
                <w:tcPr>
                  <w:tcW w:w="2038" w:type="dxa"/>
                </w:tcPr>
                <w:p w14:paraId="47FFE0F7" w14:textId="73D9F60E" w:rsidR="009A5DE0" w:rsidRDefault="001C54B0" w:rsidP="009A5DE0">
                  <w:pPr>
                    <w:spacing w:before="120" w:after="120"/>
                    <w:rPr>
                      <w:sz w:val="18"/>
                      <w:szCs w:val="18"/>
                    </w:rPr>
                  </w:pPr>
                  <w:r>
                    <w:rPr>
                      <w:sz w:val="18"/>
                      <w:szCs w:val="18"/>
                    </w:rPr>
                    <w:t>1.95</w:t>
                  </w:r>
                </w:p>
              </w:tc>
              <w:tc>
                <w:tcPr>
                  <w:tcW w:w="2038" w:type="dxa"/>
                </w:tcPr>
                <w:p w14:paraId="3E662C30" w14:textId="0928279C" w:rsidR="009A5DE0" w:rsidRDefault="001C54B0" w:rsidP="009A5DE0">
                  <w:pPr>
                    <w:spacing w:before="120" w:after="120"/>
                    <w:rPr>
                      <w:sz w:val="18"/>
                      <w:szCs w:val="18"/>
                    </w:rPr>
                  </w:pPr>
                  <w:r>
                    <w:rPr>
                      <w:sz w:val="18"/>
                      <w:szCs w:val="18"/>
                    </w:rPr>
                    <w:t>0.86</w:t>
                  </w:r>
                </w:p>
              </w:tc>
            </w:tr>
            <w:tr w:rsidR="009A5DE0" w14:paraId="30BF69BE" w14:textId="77777777" w:rsidTr="009A5DE0">
              <w:tc>
                <w:tcPr>
                  <w:tcW w:w="2245" w:type="dxa"/>
                </w:tcPr>
                <w:p w14:paraId="29ADB7E0" w14:textId="33375789" w:rsidR="009A5DE0" w:rsidRDefault="009A5DE0" w:rsidP="009A5DE0">
                  <w:pPr>
                    <w:spacing w:before="120" w:after="120"/>
                    <w:rPr>
                      <w:sz w:val="18"/>
                      <w:szCs w:val="18"/>
                    </w:rPr>
                  </w:pPr>
                  <w:r w:rsidRPr="001C1F71">
                    <w:rPr>
                      <w:sz w:val="18"/>
                      <w:szCs w:val="18"/>
                    </w:rPr>
                    <w:t>Pain Catastrophizing Scale</w:t>
                  </w:r>
                </w:p>
              </w:tc>
              <w:tc>
                <w:tcPr>
                  <w:tcW w:w="1800" w:type="dxa"/>
                </w:tcPr>
                <w:p w14:paraId="0873D07D" w14:textId="56C0C6DF" w:rsidR="009A5DE0" w:rsidRDefault="001C54B0" w:rsidP="009A5DE0">
                  <w:pPr>
                    <w:spacing w:before="120" w:after="120"/>
                    <w:rPr>
                      <w:sz w:val="18"/>
                      <w:szCs w:val="18"/>
                    </w:rPr>
                  </w:pPr>
                  <w:r>
                    <w:rPr>
                      <w:sz w:val="18"/>
                      <w:szCs w:val="18"/>
                    </w:rPr>
                    <w:t>-0.58</w:t>
                  </w:r>
                </w:p>
              </w:tc>
              <w:tc>
                <w:tcPr>
                  <w:tcW w:w="2069" w:type="dxa"/>
                </w:tcPr>
                <w:p w14:paraId="5E120328" w14:textId="53EFB62F" w:rsidR="009A5DE0" w:rsidRDefault="001C54B0" w:rsidP="009A5DE0">
                  <w:pPr>
                    <w:spacing w:before="120" w:after="120"/>
                    <w:rPr>
                      <w:sz w:val="18"/>
                      <w:szCs w:val="18"/>
                    </w:rPr>
                  </w:pPr>
                  <w:r>
                    <w:rPr>
                      <w:sz w:val="18"/>
                      <w:szCs w:val="18"/>
                    </w:rPr>
                    <w:t>-4.06 to 2.89</w:t>
                  </w:r>
                </w:p>
              </w:tc>
              <w:tc>
                <w:tcPr>
                  <w:tcW w:w="2038" w:type="dxa"/>
                </w:tcPr>
                <w:p w14:paraId="740FF4C3" w14:textId="0698AB31" w:rsidR="009A5DE0" w:rsidRDefault="002E634D" w:rsidP="009A5DE0">
                  <w:pPr>
                    <w:spacing w:before="120" w:after="120"/>
                    <w:rPr>
                      <w:sz w:val="18"/>
                      <w:szCs w:val="18"/>
                    </w:rPr>
                  </w:pPr>
                  <w:r>
                    <w:rPr>
                      <w:sz w:val="18"/>
                      <w:szCs w:val="18"/>
                    </w:rPr>
                    <w:t>5.08</w:t>
                  </w:r>
                </w:p>
              </w:tc>
              <w:tc>
                <w:tcPr>
                  <w:tcW w:w="2038" w:type="dxa"/>
                </w:tcPr>
                <w:p w14:paraId="232DD7E0" w14:textId="3077B3D8" w:rsidR="009A5DE0" w:rsidRDefault="002E634D" w:rsidP="009A5DE0">
                  <w:pPr>
                    <w:spacing w:before="120" w:after="120"/>
                    <w:rPr>
                      <w:sz w:val="18"/>
                      <w:szCs w:val="18"/>
                    </w:rPr>
                  </w:pPr>
                  <w:r>
                    <w:rPr>
                      <w:sz w:val="18"/>
                      <w:szCs w:val="18"/>
                    </w:rPr>
                    <w:t>0.12</w:t>
                  </w:r>
                </w:p>
              </w:tc>
            </w:tr>
            <w:tr w:rsidR="009A5DE0" w14:paraId="675998EC" w14:textId="77777777" w:rsidTr="009A5DE0">
              <w:tc>
                <w:tcPr>
                  <w:tcW w:w="2245" w:type="dxa"/>
                </w:tcPr>
                <w:p w14:paraId="3A486ECC" w14:textId="6D260077" w:rsidR="009A5DE0" w:rsidRDefault="009A5DE0" w:rsidP="009A5DE0">
                  <w:pPr>
                    <w:spacing w:before="120" w:after="120"/>
                    <w:rPr>
                      <w:sz w:val="18"/>
                      <w:szCs w:val="18"/>
                    </w:rPr>
                  </w:pPr>
                  <w:r w:rsidRPr="001C1F71">
                    <w:rPr>
                      <w:sz w:val="18"/>
                      <w:szCs w:val="18"/>
                    </w:rPr>
                    <w:t>Pain Vigilance and Awareness Questionnaire</w:t>
                  </w:r>
                </w:p>
              </w:tc>
              <w:tc>
                <w:tcPr>
                  <w:tcW w:w="1800" w:type="dxa"/>
                </w:tcPr>
                <w:p w14:paraId="07CF5A9C" w14:textId="07F0532B" w:rsidR="009A5DE0" w:rsidRDefault="002E634D" w:rsidP="009A5DE0">
                  <w:pPr>
                    <w:spacing w:before="120" w:after="120"/>
                    <w:rPr>
                      <w:sz w:val="18"/>
                      <w:szCs w:val="18"/>
                    </w:rPr>
                  </w:pPr>
                  <w:r>
                    <w:rPr>
                      <w:sz w:val="18"/>
                      <w:szCs w:val="18"/>
                    </w:rPr>
                    <w:t>0.07</w:t>
                  </w:r>
                </w:p>
              </w:tc>
              <w:tc>
                <w:tcPr>
                  <w:tcW w:w="2069" w:type="dxa"/>
                </w:tcPr>
                <w:p w14:paraId="38D3C5A0" w14:textId="5D6A6A16" w:rsidR="009A5DE0" w:rsidRDefault="002E634D" w:rsidP="009A5DE0">
                  <w:pPr>
                    <w:spacing w:before="120" w:after="120"/>
                    <w:rPr>
                      <w:sz w:val="18"/>
                      <w:szCs w:val="18"/>
                    </w:rPr>
                  </w:pPr>
                  <w:r>
                    <w:rPr>
                      <w:sz w:val="18"/>
                      <w:szCs w:val="18"/>
                    </w:rPr>
                    <w:t>-4.34 to 4.47</w:t>
                  </w:r>
                </w:p>
              </w:tc>
              <w:tc>
                <w:tcPr>
                  <w:tcW w:w="2038" w:type="dxa"/>
                </w:tcPr>
                <w:p w14:paraId="2F515262" w14:textId="13B8FBD0" w:rsidR="009A5DE0" w:rsidRDefault="002E634D" w:rsidP="009A5DE0">
                  <w:pPr>
                    <w:spacing w:before="120" w:after="120"/>
                    <w:rPr>
                      <w:sz w:val="18"/>
                      <w:szCs w:val="18"/>
                    </w:rPr>
                  </w:pPr>
                  <w:r>
                    <w:rPr>
                      <w:sz w:val="18"/>
                      <w:szCs w:val="18"/>
                    </w:rPr>
                    <w:t>6.15</w:t>
                  </w:r>
                </w:p>
              </w:tc>
              <w:tc>
                <w:tcPr>
                  <w:tcW w:w="2038" w:type="dxa"/>
                </w:tcPr>
                <w:p w14:paraId="5DD24979" w14:textId="4714178C" w:rsidR="009A5DE0" w:rsidRDefault="002E634D" w:rsidP="009A5DE0">
                  <w:pPr>
                    <w:spacing w:before="120" w:after="120"/>
                    <w:rPr>
                      <w:sz w:val="18"/>
                      <w:szCs w:val="18"/>
                    </w:rPr>
                  </w:pPr>
                  <w:r>
                    <w:rPr>
                      <w:sz w:val="18"/>
                      <w:szCs w:val="18"/>
                    </w:rPr>
                    <w:t>0.28</w:t>
                  </w:r>
                </w:p>
              </w:tc>
            </w:tr>
          </w:tbl>
          <w:p w14:paraId="34B49D22" w14:textId="77777777" w:rsidR="0000738B" w:rsidRPr="002F16E1" w:rsidRDefault="0000738B" w:rsidP="00B82150">
            <w:pPr>
              <w:spacing w:before="120" w:after="120"/>
              <w:rPr>
                <w:sz w:val="18"/>
                <w:szCs w:val="18"/>
              </w:rPr>
            </w:pPr>
          </w:p>
          <w:p w14:paraId="0FFCF3DA" w14:textId="6CF79855" w:rsidR="0000738B" w:rsidRPr="002F16E1" w:rsidRDefault="007B7A5F" w:rsidP="00B82150">
            <w:pPr>
              <w:spacing w:before="120" w:after="120"/>
              <w:rPr>
                <w:sz w:val="18"/>
                <w:szCs w:val="18"/>
              </w:rPr>
            </w:pPr>
            <w:r>
              <w:rPr>
                <w:sz w:val="18"/>
                <w:szCs w:val="18"/>
              </w:rPr>
              <w:t xml:space="preserve">For the Illness Perception Questionnaire, each subscale is interpreted individually, so a total for the entire questionnaire could not be used. Instead, each subscale was </w:t>
            </w:r>
            <w:r w:rsidR="00A20299">
              <w:rPr>
                <w:sz w:val="18"/>
                <w:szCs w:val="18"/>
              </w:rPr>
              <w:t>calculated,</w:t>
            </w:r>
            <w:r>
              <w:rPr>
                <w:sz w:val="18"/>
                <w:szCs w:val="18"/>
              </w:rPr>
              <w:t xml:space="preserve"> and I chose the subscale with the most significant findings and that was relevant to my clinical scenario. </w:t>
            </w:r>
            <w:r w:rsidR="00A20299">
              <w:rPr>
                <w:sz w:val="18"/>
                <w:szCs w:val="18"/>
              </w:rPr>
              <w:t xml:space="preserve">Notable results: The mean group difference for the Tampa Scale for </w:t>
            </w:r>
            <w:proofErr w:type="spellStart"/>
            <w:r w:rsidR="00A20299">
              <w:rPr>
                <w:sz w:val="18"/>
                <w:szCs w:val="18"/>
              </w:rPr>
              <w:t>Kinesiophobia</w:t>
            </w:r>
            <w:proofErr w:type="spellEnd"/>
            <w:r w:rsidR="00A20299">
              <w:rPr>
                <w:sz w:val="18"/>
                <w:szCs w:val="18"/>
              </w:rPr>
              <w:t xml:space="preserve"> </w:t>
            </w:r>
            <w:r w:rsidR="00B17AE0">
              <w:rPr>
                <w:sz w:val="18"/>
                <w:szCs w:val="18"/>
              </w:rPr>
              <w:t>was greater than the MCID for the test. There was a large effect size for the Timeline</w:t>
            </w:r>
            <w:r w:rsidR="00150641">
              <w:rPr>
                <w:sz w:val="18"/>
                <w:szCs w:val="18"/>
              </w:rPr>
              <w:t xml:space="preserve"> subscale that assessed how long the patient felt the pain or symptoms were going to last. </w:t>
            </w:r>
          </w:p>
          <w:p w14:paraId="5C88B7C2" w14:textId="77777777" w:rsidR="0000738B" w:rsidRPr="002F16E1" w:rsidRDefault="0000738B" w:rsidP="00B82150">
            <w:pPr>
              <w:spacing w:before="120" w:after="120"/>
              <w:rPr>
                <w:sz w:val="18"/>
                <w:szCs w:val="18"/>
              </w:rPr>
            </w:pPr>
          </w:p>
          <w:p w14:paraId="03FE866A" w14:textId="77777777" w:rsidR="0000738B" w:rsidRPr="002F16E1" w:rsidRDefault="0000738B" w:rsidP="00B82150">
            <w:pPr>
              <w:spacing w:before="120" w:after="120"/>
              <w:jc w:val="right"/>
              <w:rPr>
                <w:sz w:val="18"/>
                <w:szCs w:val="18"/>
              </w:rPr>
            </w:pPr>
          </w:p>
        </w:tc>
      </w:tr>
      <w:tr w:rsidR="0000738B" w:rsidRPr="002F16E1" w14:paraId="27F560F6" w14:textId="77777777" w:rsidTr="00B82150">
        <w:tc>
          <w:tcPr>
            <w:tcW w:w="10421" w:type="dxa"/>
            <w:shd w:val="clear" w:color="auto" w:fill="E6E6E6"/>
          </w:tcPr>
          <w:p w14:paraId="396F2119" w14:textId="77777777" w:rsidR="0000738B" w:rsidRPr="002F16E1" w:rsidRDefault="0000738B" w:rsidP="00B82150">
            <w:pPr>
              <w:spacing w:before="120" w:after="120"/>
              <w:rPr>
                <w:b/>
                <w:sz w:val="18"/>
                <w:szCs w:val="18"/>
              </w:rPr>
            </w:pPr>
            <w:r w:rsidRPr="002F16E1">
              <w:rPr>
                <w:b/>
                <w:sz w:val="18"/>
                <w:szCs w:val="18"/>
              </w:rPr>
              <w:lastRenderedPageBreak/>
              <w:t>Original Authors’ Conclusions</w:t>
            </w:r>
          </w:p>
          <w:p w14:paraId="77558C54" w14:textId="0101F583" w:rsidR="0000738B" w:rsidRPr="002F16E1" w:rsidRDefault="0000738B" w:rsidP="00B82150">
            <w:pPr>
              <w:spacing w:before="120" w:after="120"/>
              <w:rPr>
                <w:sz w:val="18"/>
                <w:szCs w:val="18"/>
              </w:rPr>
            </w:pPr>
            <w:r w:rsidRPr="002F16E1">
              <w:rPr>
                <w:sz w:val="18"/>
                <w:szCs w:val="18"/>
              </w:rPr>
              <w:t>[Paraphrase as required. If providing a direct quote, add page number]</w:t>
            </w:r>
          </w:p>
        </w:tc>
      </w:tr>
      <w:tr w:rsidR="0000738B" w:rsidRPr="002F16E1" w14:paraId="582F5D6B" w14:textId="77777777" w:rsidTr="00B82150">
        <w:tc>
          <w:tcPr>
            <w:tcW w:w="10421" w:type="dxa"/>
            <w:tcBorders>
              <w:bottom w:val="single" w:sz="4" w:space="0" w:color="auto"/>
            </w:tcBorders>
            <w:shd w:val="clear" w:color="auto" w:fill="auto"/>
          </w:tcPr>
          <w:p w14:paraId="57903CDE" w14:textId="7B92315B" w:rsidR="0000738B" w:rsidRPr="002F16E1" w:rsidRDefault="00BD2C86" w:rsidP="00B82150">
            <w:pPr>
              <w:spacing w:before="120" w:after="120"/>
              <w:rPr>
                <w:sz w:val="18"/>
                <w:szCs w:val="18"/>
              </w:rPr>
            </w:pPr>
            <w:r>
              <w:rPr>
                <w:sz w:val="18"/>
                <w:szCs w:val="18"/>
              </w:rPr>
              <w:t>While the</w:t>
            </w:r>
            <w:r w:rsidR="00150641">
              <w:rPr>
                <w:sz w:val="18"/>
                <w:szCs w:val="18"/>
              </w:rPr>
              <w:t xml:space="preserve"> authors found that pain neuroscience education alone may not have </w:t>
            </w:r>
            <w:r w:rsidR="00435CA6">
              <w:rPr>
                <w:sz w:val="18"/>
                <w:szCs w:val="18"/>
              </w:rPr>
              <w:t xml:space="preserve">large effects on </w:t>
            </w:r>
            <w:r>
              <w:rPr>
                <w:sz w:val="18"/>
                <w:szCs w:val="18"/>
              </w:rPr>
              <w:t xml:space="preserve">the patient’s disability due to the chronic pain, they did find that it could decrease fear of movement and improve their perception of the timeline of their pain. </w:t>
            </w:r>
            <w:r w:rsidR="002D0691">
              <w:rPr>
                <w:sz w:val="18"/>
                <w:szCs w:val="18"/>
              </w:rPr>
              <w:t xml:space="preserve">While the authors found that the mean difference in Tampa Scale for </w:t>
            </w:r>
            <w:proofErr w:type="spellStart"/>
            <w:r w:rsidR="002D0691">
              <w:rPr>
                <w:sz w:val="18"/>
                <w:szCs w:val="18"/>
              </w:rPr>
              <w:t>Kinesiophobia</w:t>
            </w:r>
            <w:proofErr w:type="spellEnd"/>
            <w:r w:rsidR="002D0691">
              <w:rPr>
                <w:sz w:val="18"/>
                <w:szCs w:val="18"/>
              </w:rPr>
              <w:t xml:space="preserve"> following PNE</w:t>
            </w:r>
            <w:r w:rsidR="0084036E">
              <w:rPr>
                <w:sz w:val="18"/>
                <w:szCs w:val="18"/>
              </w:rPr>
              <w:t xml:space="preserve"> was greater than the MCID, there was only a medium effect size for the group.</w:t>
            </w:r>
            <w:r w:rsidR="001A435E">
              <w:rPr>
                <w:sz w:val="18"/>
                <w:szCs w:val="18"/>
              </w:rPr>
              <w:t xml:space="preserve"> </w:t>
            </w:r>
            <w:r w:rsidR="0084036E">
              <w:rPr>
                <w:sz w:val="18"/>
                <w:szCs w:val="18"/>
              </w:rPr>
              <w:t>As a result, the author</w:t>
            </w:r>
            <w:r w:rsidR="006B171B">
              <w:rPr>
                <w:sz w:val="18"/>
                <w:szCs w:val="18"/>
              </w:rPr>
              <w:t xml:space="preserve">s </w:t>
            </w:r>
            <w:r w:rsidR="0084036E">
              <w:rPr>
                <w:sz w:val="18"/>
                <w:szCs w:val="18"/>
              </w:rPr>
              <w:t xml:space="preserve">concluded </w:t>
            </w:r>
            <w:r w:rsidR="006B171B">
              <w:rPr>
                <w:sz w:val="18"/>
                <w:szCs w:val="18"/>
              </w:rPr>
              <w:t xml:space="preserve">that pain neuroscience education can </w:t>
            </w:r>
            <w:r w:rsidR="00B654AB">
              <w:rPr>
                <w:sz w:val="18"/>
                <w:szCs w:val="18"/>
              </w:rPr>
              <w:t>change a patient’s fear of movement</w:t>
            </w:r>
            <w:r w:rsidR="00FC1EC9">
              <w:rPr>
                <w:sz w:val="18"/>
                <w:szCs w:val="18"/>
              </w:rPr>
              <w:t xml:space="preserve"> </w:t>
            </w:r>
            <w:r w:rsidR="009E5BD9">
              <w:rPr>
                <w:sz w:val="18"/>
                <w:szCs w:val="18"/>
              </w:rPr>
              <w:t xml:space="preserve">and their perception of their pain and should be used in conjunction with other treatment rather than used alone. </w:t>
            </w:r>
            <w:r w:rsidR="00E20DD9">
              <w:rPr>
                <w:sz w:val="18"/>
                <w:szCs w:val="18"/>
              </w:rPr>
              <w:t>In their conclusion, the authors</w:t>
            </w:r>
            <w:r w:rsidR="00E20DD9">
              <w:rPr>
                <w:sz w:val="18"/>
                <w:szCs w:val="18"/>
              </w:rPr>
              <w:t xml:space="preserve"> also discussed how the small to medium effect size and lack of statistical significance regarding the primary outcome measure may be due to the specific outcome measures used (i.e., using the Pain Disability Index rather than Roland Morris Disability Questionnaire) or the short follow up period.</w:t>
            </w:r>
          </w:p>
          <w:p w14:paraId="537C0742" w14:textId="77777777" w:rsidR="0000738B" w:rsidRPr="002F16E1" w:rsidRDefault="0000738B" w:rsidP="00B82150">
            <w:pPr>
              <w:spacing w:before="120" w:after="120"/>
              <w:jc w:val="right"/>
              <w:rPr>
                <w:sz w:val="18"/>
                <w:szCs w:val="18"/>
              </w:rPr>
            </w:pPr>
          </w:p>
        </w:tc>
      </w:tr>
      <w:tr w:rsidR="0000738B" w:rsidRPr="002F16E1" w14:paraId="5A49C5E7" w14:textId="77777777" w:rsidTr="00B82150">
        <w:tc>
          <w:tcPr>
            <w:tcW w:w="10421" w:type="dxa"/>
            <w:shd w:val="clear" w:color="auto" w:fill="E6E6E6"/>
          </w:tcPr>
          <w:p w14:paraId="2C1FC809" w14:textId="77777777" w:rsidR="0000738B" w:rsidRPr="002F16E1" w:rsidRDefault="0000738B" w:rsidP="00B82150">
            <w:pPr>
              <w:spacing w:before="120" w:after="120"/>
              <w:rPr>
                <w:b/>
                <w:sz w:val="18"/>
                <w:szCs w:val="18"/>
              </w:rPr>
            </w:pPr>
            <w:r w:rsidRPr="002F16E1">
              <w:rPr>
                <w:b/>
                <w:sz w:val="18"/>
                <w:szCs w:val="18"/>
              </w:rPr>
              <w:t>Critical Appraisal</w:t>
            </w:r>
          </w:p>
        </w:tc>
      </w:tr>
      <w:tr w:rsidR="0000738B" w:rsidRPr="002F16E1" w14:paraId="0F83B9C4" w14:textId="77777777" w:rsidTr="00B82150">
        <w:tc>
          <w:tcPr>
            <w:tcW w:w="10421" w:type="dxa"/>
            <w:shd w:val="clear" w:color="auto" w:fill="auto"/>
          </w:tcPr>
          <w:p w14:paraId="5B3A1771" w14:textId="77777777" w:rsidR="0000738B" w:rsidRPr="002F16E1" w:rsidRDefault="0000738B" w:rsidP="00B82150">
            <w:pPr>
              <w:spacing w:before="120" w:after="120"/>
              <w:rPr>
                <w:b/>
                <w:sz w:val="18"/>
                <w:szCs w:val="18"/>
              </w:rPr>
            </w:pPr>
            <w:r w:rsidRPr="002F16E1">
              <w:rPr>
                <w:b/>
                <w:sz w:val="18"/>
                <w:szCs w:val="18"/>
              </w:rPr>
              <w:t>Validity</w:t>
            </w:r>
          </w:p>
          <w:p w14:paraId="5EA232CD" w14:textId="77777777" w:rsidR="0000738B" w:rsidRPr="002F16E1" w:rsidRDefault="0000738B" w:rsidP="0000738B">
            <w:pPr>
              <w:spacing w:before="120" w:after="120"/>
              <w:rPr>
                <w:sz w:val="18"/>
                <w:szCs w:val="18"/>
              </w:rPr>
            </w:pPr>
            <w:r>
              <w:rPr>
                <w:sz w:val="18"/>
                <w:szCs w:val="18"/>
              </w:rPr>
              <w:t>[Summarize the internal and external validity of the study. Highlight key strengths and weaknesses. Comment on the overall evidence quality provided by this study.]</w:t>
            </w:r>
          </w:p>
        </w:tc>
      </w:tr>
      <w:tr w:rsidR="0000738B" w:rsidRPr="002F16E1" w14:paraId="49854E88" w14:textId="77777777" w:rsidTr="00B82150">
        <w:tc>
          <w:tcPr>
            <w:tcW w:w="10421" w:type="dxa"/>
            <w:shd w:val="clear" w:color="auto" w:fill="auto"/>
          </w:tcPr>
          <w:p w14:paraId="59855F51" w14:textId="2055D427" w:rsidR="0000738B" w:rsidRPr="00580607" w:rsidRDefault="005104C7" w:rsidP="00B82150">
            <w:pPr>
              <w:spacing w:before="120" w:after="120"/>
              <w:rPr>
                <w:sz w:val="18"/>
                <w:szCs w:val="18"/>
              </w:rPr>
            </w:pPr>
            <w:r>
              <w:rPr>
                <w:sz w:val="18"/>
                <w:szCs w:val="18"/>
              </w:rPr>
              <w:t xml:space="preserve">This RCT scored a low risk of bias using the Cochrane risk of bias assessment. It also scored an 8/10 on the </w:t>
            </w:r>
            <w:proofErr w:type="spellStart"/>
            <w:r>
              <w:rPr>
                <w:sz w:val="18"/>
                <w:szCs w:val="18"/>
              </w:rPr>
              <w:t>PEDro</w:t>
            </w:r>
            <w:proofErr w:type="spellEnd"/>
            <w:r>
              <w:rPr>
                <w:sz w:val="18"/>
                <w:szCs w:val="18"/>
              </w:rPr>
              <w:t xml:space="preserve"> scale, which ranks it as a high-quality study. The trial met all criteria, except baseline comparability </w:t>
            </w:r>
            <w:r w:rsidR="00DA4D09">
              <w:rPr>
                <w:sz w:val="18"/>
                <w:szCs w:val="18"/>
              </w:rPr>
              <w:t xml:space="preserve">and blind therapists. It is difficult for a physical therapy research study to blind the PTs, since the PTs must know what treatment, they are conducting. </w:t>
            </w:r>
            <w:r w:rsidR="008D7E09">
              <w:rPr>
                <w:sz w:val="18"/>
                <w:szCs w:val="18"/>
              </w:rPr>
              <w:t xml:space="preserve">The differences in baseline comparability included a </w:t>
            </w:r>
            <w:r w:rsidR="001A435E">
              <w:rPr>
                <w:sz w:val="18"/>
                <w:szCs w:val="18"/>
              </w:rPr>
              <w:t>3-year</w:t>
            </w:r>
            <w:r w:rsidR="008D7E09">
              <w:rPr>
                <w:sz w:val="18"/>
                <w:szCs w:val="18"/>
              </w:rPr>
              <w:t xml:space="preserve"> difference in length of chronic pain</w:t>
            </w:r>
            <w:r w:rsidR="001A435E">
              <w:rPr>
                <w:sz w:val="18"/>
                <w:szCs w:val="18"/>
              </w:rPr>
              <w:t xml:space="preserve"> between the experimental group and the control group. On average, t</w:t>
            </w:r>
            <w:r w:rsidR="008D7E09">
              <w:rPr>
                <w:sz w:val="18"/>
                <w:szCs w:val="18"/>
              </w:rPr>
              <w:t xml:space="preserve">he experimental group had </w:t>
            </w:r>
            <w:r w:rsidR="001A435E">
              <w:rPr>
                <w:sz w:val="18"/>
                <w:szCs w:val="18"/>
              </w:rPr>
              <w:t>a</w:t>
            </w:r>
            <w:r w:rsidR="008D7E09">
              <w:rPr>
                <w:sz w:val="18"/>
                <w:szCs w:val="18"/>
              </w:rPr>
              <w:t xml:space="preserve"> longer duration of </w:t>
            </w:r>
            <w:r w:rsidR="00E20DD9">
              <w:rPr>
                <w:sz w:val="18"/>
                <w:szCs w:val="18"/>
              </w:rPr>
              <w:t xml:space="preserve">chronic </w:t>
            </w:r>
            <w:r w:rsidR="008D7E09">
              <w:rPr>
                <w:sz w:val="18"/>
                <w:szCs w:val="18"/>
              </w:rPr>
              <w:t xml:space="preserve">pain compared to the controls. </w:t>
            </w:r>
            <w:r w:rsidR="004C21DE">
              <w:rPr>
                <w:sz w:val="18"/>
                <w:szCs w:val="18"/>
              </w:rPr>
              <w:t xml:space="preserve">Another strength of the study is the large sample size compared to previous PNE studies and the exploration of blended learning. All outcome measures used were reliable and valid measures and </w:t>
            </w:r>
            <w:r w:rsidR="00EE4B3D">
              <w:rPr>
                <w:sz w:val="18"/>
                <w:szCs w:val="18"/>
              </w:rPr>
              <w:t xml:space="preserve">fit the study’s goals. </w:t>
            </w:r>
          </w:p>
          <w:p w14:paraId="6CA67938" w14:textId="77777777" w:rsidR="0000738B" w:rsidRPr="00580607" w:rsidRDefault="0000738B" w:rsidP="00EE4B3D">
            <w:pPr>
              <w:spacing w:before="120" w:after="120"/>
              <w:ind w:right="270"/>
              <w:jc w:val="right"/>
              <w:rPr>
                <w:sz w:val="18"/>
                <w:szCs w:val="18"/>
              </w:rPr>
            </w:pPr>
          </w:p>
        </w:tc>
      </w:tr>
      <w:tr w:rsidR="0000738B" w:rsidRPr="002F16E1" w14:paraId="6D4F4D87" w14:textId="77777777" w:rsidTr="00B82150">
        <w:tc>
          <w:tcPr>
            <w:tcW w:w="10421" w:type="dxa"/>
            <w:shd w:val="clear" w:color="auto" w:fill="auto"/>
          </w:tcPr>
          <w:p w14:paraId="1A22948B" w14:textId="77777777" w:rsidR="0000738B" w:rsidRPr="002F16E1" w:rsidRDefault="0000738B" w:rsidP="00B82150">
            <w:pPr>
              <w:spacing w:before="120" w:after="120"/>
              <w:jc w:val="both"/>
              <w:rPr>
                <w:b/>
                <w:sz w:val="18"/>
                <w:szCs w:val="18"/>
              </w:rPr>
            </w:pPr>
            <w:r w:rsidRPr="002F16E1">
              <w:rPr>
                <w:b/>
                <w:sz w:val="18"/>
                <w:szCs w:val="18"/>
              </w:rPr>
              <w:t>Interpretation of Results</w:t>
            </w:r>
          </w:p>
          <w:p w14:paraId="3BA969DE" w14:textId="43345145" w:rsidR="0000738B" w:rsidRPr="002F16E1" w:rsidRDefault="0000738B" w:rsidP="00B82150">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00738B" w:rsidRPr="002F16E1" w14:paraId="46CA4131" w14:textId="77777777" w:rsidTr="00B82150">
        <w:trPr>
          <w:trHeight w:val="1365"/>
        </w:trPr>
        <w:tc>
          <w:tcPr>
            <w:tcW w:w="10421" w:type="dxa"/>
            <w:shd w:val="clear" w:color="auto" w:fill="auto"/>
          </w:tcPr>
          <w:p w14:paraId="20826E32" w14:textId="7FA01C9B" w:rsidR="0000738B" w:rsidRPr="005B6A74" w:rsidRDefault="00EE4B3D" w:rsidP="005B6A74">
            <w:pPr>
              <w:spacing w:before="120" w:after="120"/>
              <w:rPr>
                <w:sz w:val="18"/>
                <w:szCs w:val="18"/>
                <w:lang w:val="en-US" w:eastAsia="zh-CN"/>
              </w:rPr>
            </w:pPr>
            <w:r>
              <w:rPr>
                <w:sz w:val="18"/>
                <w:szCs w:val="18"/>
              </w:rPr>
              <w:t xml:space="preserve">Although the study did have </w:t>
            </w:r>
            <w:r w:rsidR="00A75427">
              <w:rPr>
                <w:sz w:val="18"/>
                <w:szCs w:val="18"/>
              </w:rPr>
              <w:t xml:space="preserve">small to medium effect sizes for many of the outcome measures, including their primary measure (the Pain Disability Index), the use of a </w:t>
            </w:r>
            <w:r w:rsidR="008D4327">
              <w:rPr>
                <w:sz w:val="18"/>
                <w:szCs w:val="18"/>
              </w:rPr>
              <w:t xml:space="preserve">broader disability outcome measure rather than a disability measure more specific to the chronic spinal pain population </w:t>
            </w:r>
            <w:r w:rsidR="009F607F">
              <w:rPr>
                <w:sz w:val="18"/>
                <w:szCs w:val="18"/>
              </w:rPr>
              <w:t>could contribute to smaller effect sizes.</w:t>
            </w:r>
            <w:r w:rsidR="008E4052">
              <w:rPr>
                <w:sz w:val="18"/>
                <w:szCs w:val="18"/>
              </w:rPr>
              <w:t xml:space="preserve"> The RCT was rated as a </w:t>
            </w:r>
            <w:r w:rsidR="00B92E8F">
              <w:rPr>
                <w:sz w:val="18"/>
                <w:szCs w:val="18"/>
              </w:rPr>
              <w:t>high-quality</w:t>
            </w:r>
            <w:r w:rsidR="008E4052">
              <w:rPr>
                <w:sz w:val="18"/>
                <w:szCs w:val="18"/>
              </w:rPr>
              <w:t xml:space="preserve"> study using multiple risk of bias assessments and scales, including the GRADE assessment (10/12), the Pedro scale (8/10), and the Cochrane risk of bias assessment (low risk of bias), so the findings that were clinically significant have a low risk of being biased.</w:t>
            </w:r>
            <w:r w:rsidR="009F607F">
              <w:rPr>
                <w:sz w:val="18"/>
                <w:szCs w:val="18"/>
              </w:rPr>
              <w:t xml:space="preserve"> The findings that were </w:t>
            </w:r>
            <w:r w:rsidR="007F7E0B">
              <w:rPr>
                <w:sz w:val="18"/>
                <w:szCs w:val="18"/>
              </w:rPr>
              <w:t xml:space="preserve">clinically </w:t>
            </w:r>
            <w:r w:rsidR="009F607F">
              <w:rPr>
                <w:sz w:val="18"/>
                <w:szCs w:val="18"/>
              </w:rPr>
              <w:t>significant, including decreasing f</w:t>
            </w:r>
            <w:r w:rsidR="009F607F">
              <w:rPr>
                <w:sz w:val="18"/>
                <w:szCs w:val="18"/>
                <w:lang w:val="en-US"/>
              </w:rPr>
              <w:t xml:space="preserve">ear of movement, were salient to the clinical scenario and this specific patient’s circumstances. </w:t>
            </w:r>
            <w:r w:rsidR="007F7E0B">
              <w:rPr>
                <w:sz w:val="18"/>
                <w:szCs w:val="18"/>
                <w:lang w:val="en-US"/>
              </w:rPr>
              <w:t>While improvements in the disability outcome w</w:t>
            </w:r>
            <w:r w:rsidR="00390DBA">
              <w:rPr>
                <w:sz w:val="18"/>
                <w:szCs w:val="18"/>
                <w:lang w:val="en-US"/>
              </w:rPr>
              <w:t xml:space="preserve">ere not clinically significant with 3 sessions of PNE alone, decreasing fear of movement with 3 PNE session can </w:t>
            </w:r>
            <w:r w:rsidR="008E4052">
              <w:rPr>
                <w:sz w:val="18"/>
                <w:szCs w:val="18"/>
                <w:lang w:val="en-US"/>
              </w:rPr>
              <w:t xml:space="preserve">decrease barriers to exercise and improve the patient’s participation in physical therapy. </w:t>
            </w:r>
            <w:r w:rsidR="00F5209A">
              <w:rPr>
                <w:sz w:val="18"/>
                <w:szCs w:val="18"/>
                <w:lang w:val="en-US"/>
              </w:rPr>
              <w:t>Also, t</w:t>
            </w:r>
            <w:r w:rsidR="00C87DA1">
              <w:rPr>
                <w:sz w:val="18"/>
                <w:szCs w:val="18"/>
                <w:lang w:val="en-US"/>
              </w:rPr>
              <w:t xml:space="preserve">he study </w:t>
            </w:r>
            <w:r w:rsidR="00F5209A">
              <w:rPr>
                <w:sz w:val="18"/>
                <w:szCs w:val="18"/>
                <w:lang w:val="en-US"/>
              </w:rPr>
              <w:t xml:space="preserve">focused on </w:t>
            </w:r>
            <w:r w:rsidR="00C87DA1">
              <w:rPr>
                <w:sz w:val="18"/>
                <w:szCs w:val="18"/>
                <w:lang w:val="en-US"/>
              </w:rPr>
              <w:t xml:space="preserve">the effect of PNE alone </w:t>
            </w:r>
            <w:r w:rsidR="00F5209A">
              <w:rPr>
                <w:sz w:val="18"/>
                <w:szCs w:val="18"/>
                <w:lang w:val="en-US"/>
              </w:rPr>
              <w:t xml:space="preserve">when in clinic it would be paired with therapeutic exercise. </w:t>
            </w:r>
          </w:p>
        </w:tc>
      </w:tr>
      <w:tr w:rsidR="0000738B" w:rsidRPr="002F16E1" w14:paraId="67EAF6F2" w14:textId="77777777" w:rsidTr="0000738B">
        <w:trPr>
          <w:trHeight w:val="741"/>
        </w:trPr>
        <w:tc>
          <w:tcPr>
            <w:tcW w:w="10421" w:type="dxa"/>
            <w:shd w:val="clear" w:color="auto" w:fill="auto"/>
          </w:tcPr>
          <w:p w14:paraId="5833C426" w14:textId="77777777" w:rsidR="0000738B" w:rsidRPr="002F16E1" w:rsidRDefault="0000738B" w:rsidP="00B82150">
            <w:pPr>
              <w:spacing w:before="120" w:after="120"/>
              <w:jc w:val="both"/>
              <w:rPr>
                <w:b/>
                <w:sz w:val="18"/>
                <w:szCs w:val="18"/>
              </w:rPr>
            </w:pPr>
            <w:r>
              <w:rPr>
                <w:b/>
                <w:sz w:val="18"/>
                <w:szCs w:val="18"/>
              </w:rPr>
              <w:t>Applicability of Study Results</w:t>
            </w:r>
          </w:p>
          <w:p w14:paraId="54F8CD5B" w14:textId="77777777" w:rsidR="0000738B" w:rsidRPr="00580607" w:rsidRDefault="00752AAC" w:rsidP="00B82150">
            <w:pPr>
              <w:spacing w:before="120" w:after="120"/>
              <w:rPr>
                <w:sz w:val="18"/>
                <w:szCs w:val="18"/>
              </w:rPr>
            </w:pPr>
            <w:r>
              <w:rPr>
                <w:sz w:val="18"/>
                <w:szCs w:val="18"/>
              </w:rPr>
              <w:t>[Describe the relevance and applicability of the study to your clinical question and scenario. Consider the practicality and feasibility of the intervention in your discussion of the evidence applicability.]</w:t>
            </w:r>
          </w:p>
        </w:tc>
      </w:tr>
      <w:tr w:rsidR="0000738B" w:rsidRPr="002F16E1" w14:paraId="7D306DDE" w14:textId="77777777" w:rsidTr="00B82150">
        <w:trPr>
          <w:trHeight w:val="1594"/>
        </w:trPr>
        <w:tc>
          <w:tcPr>
            <w:tcW w:w="10421" w:type="dxa"/>
            <w:tcBorders>
              <w:bottom w:val="single" w:sz="4" w:space="0" w:color="auto"/>
            </w:tcBorders>
            <w:shd w:val="clear" w:color="auto" w:fill="auto"/>
          </w:tcPr>
          <w:p w14:paraId="1CA260A4" w14:textId="5A5841DB" w:rsidR="0000738B" w:rsidRPr="00580607" w:rsidRDefault="000244D1" w:rsidP="00B82150">
            <w:pPr>
              <w:spacing w:before="120" w:after="120"/>
              <w:rPr>
                <w:sz w:val="18"/>
                <w:szCs w:val="18"/>
              </w:rPr>
            </w:pPr>
            <w:r>
              <w:rPr>
                <w:sz w:val="18"/>
                <w:szCs w:val="18"/>
              </w:rPr>
              <w:t xml:space="preserve">The main takeaway from the study </w:t>
            </w:r>
            <w:r w:rsidR="00B92E8F">
              <w:rPr>
                <w:sz w:val="18"/>
                <w:szCs w:val="18"/>
              </w:rPr>
              <w:t xml:space="preserve">for this patient </w:t>
            </w:r>
            <w:r w:rsidR="008552AB">
              <w:rPr>
                <w:sz w:val="18"/>
                <w:szCs w:val="18"/>
              </w:rPr>
              <w:t xml:space="preserve">is that </w:t>
            </w:r>
            <w:r w:rsidR="005A1AF4">
              <w:rPr>
                <w:sz w:val="18"/>
                <w:szCs w:val="18"/>
              </w:rPr>
              <w:t xml:space="preserve">PNE can be beneficial for </w:t>
            </w:r>
            <w:r w:rsidR="004618B7">
              <w:rPr>
                <w:sz w:val="18"/>
                <w:szCs w:val="18"/>
              </w:rPr>
              <w:t>patients who fear movement will harm their tissues and worsen their pain. For these patients</w:t>
            </w:r>
            <w:r w:rsidR="00D9378C">
              <w:rPr>
                <w:sz w:val="18"/>
                <w:szCs w:val="18"/>
              </w:rPr>
              <w:t xml:space="preserve">, </w:t>
            </w:r>
            <w:r w:rsidR="001857DE">
              <w:rPr>
                <w:sz w:val="18"/>
                <w:szCs w:val="18"/>
              </w:rPr>
              <w:t xml:space="preserve">PNE can decrease </w:t>
            </w:r>
            <w:r w:rsidR="00F11CA4">
              <w:rPr>
                <w:sz w:val="18"/>
                <w:szCs w:val="18"/>
              </w:rPr>
              <w:t>their fear of movement, so that they can participate in more physical therapy exercises and stay in compliance with their HEP</w:t>
            </w:r>
            <w:r w:rsidR="004618B7">
              <w:rPr>
                <w:sz w:val="18"/>
                <w:szCs w:val="18"/>
              </w:rPr>
              <w:t xml:space="preserve">. </w:t>
            </w:r>
            <w:r w:rsidR="00486D55">
              <w:rPr>
                <w:sz w:val="18"/>
                <w:szCs w:val="18"/>
              </w:rPr>
              <w:t xml:space="preserve">A difference that was clinically significant was found following just three sessions of PNE, which is definitely feasible </w:t>
            </w:r>
            <w:r w:rsidR="008D71CE">
              <w:rPr>
                <w:sz w:val="18"/>
                <w:szCs w:val="18"/>
              </w:rPr>
              <w:t>for this patient, especially because the specific duration and content of the PNE can vary.</w:t>
            </w:r>
            <w:r w:rsidR="00F1094A">
              <w:rPr>
                <w:sz w:val="18"/>
                <w:szCs w:val="18"/>
              </w:rPr>
              <w:t xml:space="preserve"> As a result, PNE can be easily added into a patient session and can be adjusted over multiple sessions as well. </w:t>
            </w:r>
          </w:p>
          <w:p w14:paraId="1C622BA1" w14:textId="77777777" w:rsidR="0000738B" w:rsidRPr="002F16E1" w:rsidRDefault="0000738B" w:rsidP="00B82150">
            <w:pPr>
              <w:spacing w:before="120" w:after="120"/>
              <w:jc w:val="right"/>
              <w:rPr>
                <w:b/>
                <w:sz w:val="18"/>
                <w:szCs w:val="18"/>
              </w:rPr>
            </w:pPr>
          </w:p>
        </w:tc>
      </w:tr>
    </w:tbl>
    <w:p w14:paraId="45F3C832" w14:textId="77777777" w:rsidR="001D4F60" w:rsidRPr="001D4F60" w:rsidRDefault="001D4F60" w:rsidP="001D4F60">
      <w:pPr>
        <w:spacing w:before="240" w:after="240"/>
        <w:rPr>
          <w:b/>
          <w:sz w:val="18"/>
          <w:szCs w:val="18"/>
        </w:rPr>
      </w:pPr>
    </w:p>
    <w:p w14:paraId="34540B65" w14:textId="77777777" w:rsidR="00D018FF" w:rsidRDefault="009A38BC" w:rsidP="001E5719">
      <w:pPr>
        <w:spacing w:before="120" w:after="120"/>
        <w:rPr>
          <w:b/>
          <w:sz w:val="18"/>
          <w:szCs w:val="18"/>
        </w:rPr>
      </w:pPr>
      <w:r>
        <w:rPr>
          <w:b/>
          <w:sz w:val="18"/>
          <w:szCs w:val="18"/>
        </w:rPr>
        <w:lastRenderedPageBreak/>
        <w:t xml:space="preserve">SYNTHESIS AND </w:t>
      </w:r>
      <w:r w:rsidR="00B631A9">
        <w:rPr>
          <w:b/>
          <w:sz w:val="18"/>
          <w:szCs w:val="18"/>
        </w:rPr>
        <w:t xml:space="preserve">CLINICAL </w:t>
      </w:r>
      <w:r>
        <w:rPr>
          <w:b/>
          <w:sz w:val="18"/>
          <w:szCs w:val="18"/>
        </w:rPr>
        <w:t>IMPLICATIONS</w:t>
      </w:r>
    </w:p>
    <w:p w14:paraId="1745E461" w14:textId="77777777" w:rsidR="00B631A9" w:rsidRPr="00B631A9" w:rsidRDefault="00B631A9" w:rsidP="001E5719">
      <w:pPr>
        <w:spacing w:before="120" w:after="120"/>
        <w:rPr>
          <w:sz w:val="18"/>
          <w:szCs w:val="18"/>
        </w:rPr>
      </w:pPr>
      <w:r>
        <w:rPr>
          <w:sz w:val="18"/>
          <w:szCs w:val="18"/>
        </w:rPr>
        <w:t>[Synthesize the results, quality/validity, and applicability of the two studies reviewed for the CAT.</w:t>
      </w:r>
      <w:r w:rsidR="005C6870">
        <w:rPr>
          <w:sz w:val="18"/>
          <w:szCs w:val="18"/>
        </w:rPr>
        <w:t xml:space="preserve"> Future implications for research should be addressed briefly. Limit: 1 page.</w:t>
      </w:r>
      <w:r>
        <w:rPr>
          <w:sz w:val="18"/>
          <w:szCs w:val="18"/>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7E5125" w:rsidRPr="002F16E1" w14:paraId="10F3DEE1" w14:textId="77777777" w:rsidTr="002F16E1">
        <w:tc>
          <w:tcPr>
            <w:tcW w:w="10421" w:type="dxa"/>
            <w:shd w:val="clear" w:color="auto" w:fill="auto"/>
          </w:tcPr>
          <w:p w14:paraId="0AB4AD96" w14:textId="77777777" w:rsidR="00036A3A" w:rsidRDefault="00F1094A" w:rsidP="002F16E1">
            <w:pPr>
              <w:spacing w:before="120" w:after="120"/>
              <w:rPr>
                <w:sz w:val="18"/>
                <w:szCs w:val="18"/>
              </w:rPr>
            </w:pPr>
            <w:r>
              <w:rPr>
                <w:sz w:val="18"/>
                <w:szCs w:val="18"/>
              </w:rPr>
              <w:t xml:space="preserve">Both studies reviewed above show the potential impact PNE can have on a </w:t>
            </w:r>
            <w:r w:rsidR="005442E7">
              <w:rPr>
                <w:sz w:val="18"/>
                <w:szCs w:val="18"/>
              </w:rPr>
              <w:t xml:space="preserve">patient’s pain levels, disability, and fear of movement when used alone and in conjunction with physical therapy interventions, such as therapeutic exercise. </w:t>
            </w:r>
            <w:r w:rsidR="00C23863">
              <w:rPr>
                <w:sz w:val="18"/>
                <w:szCs w:val="18"/>
              </w:rPr>
              <w:t xml:space="preserve">The first study included in this CAT was a systematic review and meta-analysis of 8 RCTs that all involved using PNE in the intervention compared to a control group that </w:t>
            </w:r>
            <w:r w:rsidR="00C87DA1">
              <w:rPr>
                <w:sz w:val="18"/>
                <w:szCs w:val="18"/>
              </w:rPr>
              <w:t>received either no intervention</w:t>
            </w:r>
            <w:r w:rsidR="0052682C">
              <w:rPr>
                <w:sz w:val="18"/>
                <w:szCs w:val="18"/>
              </w:rPr>
              <w:t xml:space="preserve"> or the p</w:t>
            </w:r>
            <w:r w:rsidR="00C87DA1">
              <w:rPr>
                <w:sz w:val="18"/>
                <w:szCs w:val="18"/>
              </w:rPr>
              <w:t>hysical therapy intervention</w:t>
            </w:r>
            <w:r w:rsidR="0052682C">
              <w:rPr>
                <w:sz w:val="18"/>
                <w:szCs w:val="18"/>
              </w:rPr>
              <w:t xml:space="preserve"> alone. The meta-analysis allowed for data from multiple studies to be integrated</w:t>
            </w:r>
            <w:r w:rsidR="00673FEB">
              <w:rPr>
                <w:sz w:val="18"/>
                <w:szCs w:val="18"/>
              </w:rPr>
              <w:t xml:space="preserve"> to increase the statistical power </w:t>
            </w:r>
            <w:r w:rsidR="00B0217C">
              <w:rPr>
                <w:sz w:val="18"/>
                <w:szCs w:val="18"/>
              </w:rPr>
              <w:t xml:space="preserve">and the volume of data utilized. Many PNE studies have had small sample sizes, so increasing the number of observations is important for increasing the validity of the results. </w:t>
            </w:r>
            <w:r w:rsidR="00785FC6">
              <w:rPr>
                <w:sz w:val="18"/>
                <w:szCs w:val="18"/>
              </w:rPr>
              <w:t xml:space="preserve">Wood and Hendrick found that that the difference in disability outcomes (Roland Morris Disability Questionnaire) </w:t>
            </w:r>
            <w:r w:rsidR="00AE07AB">
              <w:rPr>
                <w:sz w:val="18"/>
                <w:szCs w:val="18"/>
              </w:rPr>
              <w:t xml:space="preserve">was statistically and clinically significant post PNE intervention when it was isolated and greater clinical improvement when combined with physical therapy. They also found that pain ratings decreased with PNE intervention when it was </w:t>
            </w:r>
            <w:r w:rsidR="009B1CCC">
              <w:rPr>
                <w:sz w:val="18"/>
                <w:szCs w:val="18"/>
              </w:rPr>
              <w:t xml:space="preserve">combined with PT intervention. The study fulfilled the criteria of a </w:t>
            </w:r>
            <w:proofErr w:type="gramStart"/>
            <w:r w:rsidR="009B1CCC">
              <w:rPr>
                <w:sz w:val="18"/>
                <w:szCs w:val="18"/>
              </w:rPr>
              <w:t>high quality</w:t>
            </w:r>
            <w:proofErr w:type="gramEnd"/>
            <w:r w:rsidR="009B1CCC">
              <w:rPr>
                <w:sz w:val="18"/>
                <w:szCs w:val="18"/>
              </w:rPr>
              <w:t xml:space="preserve"> systematic review and meta-analysis using the NIH’s quality assessment for systematic reviews and meta-analyses</w:t>
            </w:r>
            <w:r w:rsidR="00036A3A">
              <w:rPr>
                <w:sz w:val="18"/>
                <w:szCs w:val="18"/>
              </w:rPr>
              <w:t>.</w:t>
            </w:r>
          </w:p>
          <w:p w14:paraId="7DF4A270" w14:textId="4C7501CC" w:rsidR="00902046" w:rsidRDefault="00036A3A" w:rsidP="002F16E1">
            <w:pPr>
              <w:spacing w:before="120" w:after="120"/>
              <w:rPr>
                <w:sz w:val="18"/>
                <w:szCs w:val="18"/>
              </w:rPr>
            </w:pPr>
            <w:r>
              <w:rPr>
                <w:sz w:val="18"/>
                <w:szCs w:val="18"/>
              </w:rPr>
              <w:t xml:space="preserve"> The 2</w:t>
            </w:r>
            <w:r w:rsidRPr="00036A3A">
              <w:rPr>
                <w:sz w:val="18"/>
                <w:szCs w:val="18"/>
                <w:vertAlign w:val="superscript"/>
              </w:rPr>
              <w:t>nd</w:t>
            </w:r>
            <w:r>
              <w:rPr>
                <w:sz w:val="18"/>
                <w:szCs w:val="18"/>
              </w:rPr>
              <w:t xml:space="preserve"> study by </w:t>
            </w:r>
            <w:proofErr w:type="spellStart"/>
            <w:r>
              <w:rPr>
                <w:sz w:val="18"/>
                <w:szCs w:val="18"/>
              </w:rPr>
              <w:t>Mafliet</w:t>
            </w:r>
            <w:proofErr w:type="spellEnd"/>
            <w:r>
              <w:rPr>
                <w:sz w:val="18"/>
                <w:szCs w:val="18"/>
              </w:rPr>
              <w:t xml:space="preserve"> et al was a RCT that compared the effects of 3 PNE sessions to 3 biomedical education sessions.</w:t>
            </w:r>
            <w:r w:rsidR="0063367A">
              <w:rPr>
                <w:sz w:val="18"/>
                <w:szCs w:val="18"/>
              </w:rPr>
              <w:t xml:space="preserve"> </w:t>
            </w:r>
            <w:r w:rsidR="009F2CE6">
              <w:rPr>
                <w:sz w:val="18"/>
                <w:szCs w:val="18"/>
              </w:rPr>
              <w:t xml:space="preserve">It is the only PNE study to utilize blended learning and combine in person education with online modules. The testing of the online module is especially salient </w:t>
            </w:r>
            <w:r w:rsidR="00E9246F">
              <w:rPr>
                <w:sz w:val="18"/>
                <w:szCs w:val="18"/>
              </w:rPr>
              <w:t xml:space="preserve">during the time of this CAT as online learning and appointments have been increasingly relevant during the pandemic. </w:t>
            </w:r>
            <w:r w:rsidR="0063367A">
              <w:rPr>
                <w:sz w:val="18"/>
                <w:szCs w:val="18"/>
              </w:rPr>
              <w:t>This RCT utilized a larger sample size compared to other PNE studies and was also the highest quality RCT in this CAT based on the Pedro scale, GRADE assessment, and Cochrane risk of bias assessment. While the RCT found small to moderate effect sizes for</w:t>
            </w:r>
            <w:r w:rsidR="009F2CE6">
              <w:rPr>
                <w:sz w:val="18"/>
                <w:szCs w:val="18"/>
              </w:rPr>
              <w:t xml:space="preserve"> four out of five outcome measures assessed, it did find that PNE alone showed a clinically significant difference in improving fear of movement</w:t>
            </w:r>
            <w:r w:rsidR="00DB3BD3">
              <w:rPr>
                <w:sz w:val="18"/>
                <w:szCs w:val="18"/>
              </w:rPr>
              <w:t xml:space="preserve">. Decreasing fear of movement in patients is extremely important as it decreases barriers to exercise </w:t>
            </w:r>
            <w:r w:rsidR="000A3142">
              <w:rPr>
                <w:sz w:val="18"/>
                <w:szCs w:val="18"/>
              </w:rPr>
              <w:t xml:space="preserve">and improves their prognosis. </w:t>
            </w:r>
          </w:p>
          <w:p w14:paraId="26102CCC" w14:textId="1F5A5691" w:rsidR="00E609EF" w:rsidRPr="007D35DE" w:rsidRDefault="000A3142" w:rsidP="002F16E1">
            <w:pPr>
              <w:spacing w:before="120" w:after="120"/>
              <w:rPr>
                <w:sz w:val="18"/>
                <w:szCs w:val="18"/>
              </w:rPr>
            </w:pPr>
            <w:r>
              <w:rPr>
                <w:sz w:val="18"/>
                <w:szCs w:val="18"/>
              </w:rPr>
              <w:t xml:space="preserve">Both studies show the applicability of </w:t>
            </w:r>
            <w:r w:rsidR="006B7F22">
              <w:rPr>
                <w:sz w:val="18"/>
                <w:szCs w:val="18"/>
              </w:rPr>
              <w:t xml:space="preserve">PNE for chronic pain physical therapy interventions, especially for patients who show fear avoidance behaviours. Many patients stop moving due to pain when movement and exercise in the </w:t>
            </w:r>
            <w:r w:rsidR="00530A5C">
              <w:rPr>
                <w:sz w:val="18"/>
                <w:szCs w:val="18"/>
              </w:rPr>
              <w:t>long-term</w:t>
            </w:r>
            <w:r w:rsidR="006B7F22">
              <w:rPr>
                <w:sz w:val="18"/>
                <w:szCs w:val="18"/>
              </w:rPr>
              <w:t xml:space="preserve"> help </w:t>
            </w:r>
            <w:r w:rsidR="000844D1">
              <w:rPr>
                <w:sz w:val="18"/>
                <w:szCs w:val="18"/>
              </w:rPr>
              <w:t xml:space="preserve">alleviate pain symptoms. </w:t>
            </w:r>
            <w:r w:rsidR="00530A5C">
              <w:rPr>
                <w:sz w:val="18"/>
                <w:szCs w:val="18"/>
              </w:rPr>
              <w:t xml:space="preserve">Future studies should consider blended learning combined with physical therapy intervention and an increased number of PNE sessions in their studies. Studies that combine physical therapy intervention with PNE </w:t>
            </w:r>
            <w:r w:rsidR="00DE0938">
              <w:rPr>
                <w:sz w:val="18"/>
                <w:szCs w:val="18"/>
              </w:rPr>
              <w:t xml:space="preserve">would benefit from larger sample sizes across multiple centres. </w:t>
            </w:r>
          </w:p>
          <w:p w14:paraId="55935A16" w14:textId="77777777" w:rsidR="00E609EF" w:rsidRPr="007D35DE" w:rsidRDefault="00E609EF" w:rsidP="002F16E1">
            <w:pPr>
              <w:spacing w:before="120" w:after="120"/>
              <w:rPr>
                <w:sz w:val="18"/>
                <w:szCs w:val="18"/>
              </w:rPr>
            </w:pPr>
          </w:p>
        </w:tc>
      </w:tr>
    </w:tbl>
    <w:p w14:paraId="76BA0BE4" w14:textId="77777777" w:rsidR="009E380F" w:rsidRDefault="009E380F" w:rsidP="001E1518">
      <w:pPr>
        <w:spacing w:before="120"/>
        <w:rPr>
          <w:b/>
          <w:sz w:val="18"/>
          <w:szCs w:val="18"/>
        </w:rPr>
      </w:pPr>
    </w:p>
    <w:p w14:paraId="5A6725D5" w14:textId="77777777" w:rsidR="00E609EF" w:rsidRDefault="00415B87" w:rsidP="001E1518">
      <w:pPr>
        <w:spacing w:before="120"/>
        <w:rPr>
          <w:b/>
          <w:sz w:val="18"/>
          <w:szCs w:val="18"/>
        </w:rPr>
      </w:pPr>
      <w:r>
        <w:rPr>
          <w:b/>
          <w:sz w:val="18"/>
          <w:szCs w:val="18"/>
        </w:rPr>
        <w:br w:type="page"/>
      </w:r>
      <w:r w:rsidR="001403EC" w:rsidRPr="00B75AAB">
        <w:rPr>
          <w:b/>
          <w:sz w:val="18"/>
          <w:szCs w:val="18"/>
        </w:rPr>
        <w:lastRenderedPageBreak/>
        <w:t>REFERENCES</w:t>
      </w:r>
    </w:p>
    <w:p w14:paraId="42234DE5" w14:textId="77777777" w:rsidR="001403EC" w:rsidRDefault="001E1518" w:rsidP="001E1518">
      <w:pPr>
        <w:spacing w:after="120"/>
        <w:rPr>
          <w:sz w:val="18"/>
          <w:szCs w:val="18"/>
        </w:rPr>
      </w:pPr>
      <w:r w:rsidRPr="001E1518">
        <w:rPr>
          <w:sz w:val="18"/>
          <w:szCs w:val="18"/>
        </w:rPr>
        <w:t>[</w:t>
      </w:r>
      <w:r w:rsidR="001403EC" w:rsidRPr="001E1518">
        <w:rPr>
          <w:sz w:val="18"/>
          <w:szCs w:val="18"/>
        </w:rPr>
        <w:t xml:space="preserve">List </w:t>
      </w:r>
      <w:r w:rsidR="007D35DE">
        <w:rPr>
          <w:sz w:val="18"/>
          <w:szCs w:val="18"/>
        </w:rPr>
        <w:t xml:space="preserve">all </w:t>
      </w:r>
      <w:r w:rsidR="001403EC" w:rsidRPr="001E1518">
        <w:rPr>
          <w:sz w:val="18"/>
          <w:szCs w:val="18"/>
        </w:rPr>
        <w:t>references</w:t>
      </w:r>
      <w:r w:rsidR="007D35DE">
        <w:rPr>
          <w:sz w:val="18"/>
          <w:szCs w:val="18"/>
        </w:rPr>
        <w:t xml:space="preserve"> cited in the CAT</w:t>
      </w:r>
      <w:r w:rsidRPr="001E1518">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E1518" w:rsidRPr="002F16E1" w14:paraId="062D8DE6" w14:textId="77777777" w:rsidTr="00C23863">
        <w:tc>
          <w:tcPr>
            <w:tcW w:w="10195" w:type="dxa"/>
            <w:shd w:val="clear" w:color="auto" w:fill="auto"/>
          </w:tcPr>
          <w:p w14:paraId="0B29F500" w14:textId="77777777" w:rsidR="004503EC" w:rsidRPr="00D27263" w:rsidRDefault="004503EC" w:rsidP="004503EC">
            <w:pPr>
              <w:pStyle w:val="NormalWeb"/>
              <w:spacing w:afterLines="100" w:after="240" w:line="200" w:lineRule="auto"/>
              <w:ind w:left="580" w:hanging="580"/>
              <w:rPr>
                <w:rFonts w:ascii="Verdana" w:hAnsi="Verdana"/>
                <w:color w:val="000000"/>
                <w:sz w:val="20"/>
              </w:rPr>
            </w:pPr>
            <w:hyperlink r:id="rId6" w:history="1">
              <w:r w:rsidRPr="00D27263">
                <w:rPr>
                  <w:rStyle w:val="csl-left-margin"/>
                  <w:rFonts w:ascii="Verdana" w:hAnsi="Verdana"/>
                  <w:color w:val="000000"/>
                  <w:sz w:val="20"/>
                </w:rPr>
                <w:t>1. </w:t>
              </w:r>
              <w:r w:rsidRPr="00D27263">
                <w:rPr>
                  <w:rStyle w:val="csl-left-margin"/>
                  <w:rFonts w:ascii="Verdana" w:hAnsi="Verdana"/>
                  <w:color w:val="000000"/>
                  <w:sz w:val="20"/>
                </w:rPr>
                <w:t> </w:t>
              </w:r>
              <w:r w:rsidRPr="00D27263">
                <w:rPr>
                  <w:rStyle w:val="csl-left-margin"/>
                  <w:rFonts w:ascii="Verdana" w:hAnsi="Verdana"/>
                  <w:color w:val="000000"/>
                  <w:sz w:val="20"/>
                </w:rPr>
                <w:t> </w:t>
              </w:r>
              <w:r w:rsidRPr="00D27263">
                <w:rPr>
                  <w:rStyle w:val="csl-left-margin"/>
                  <w:rFonts w:ascii="Verdana" w:hAnsi="Verdana"/>
                  <w:color w:val="000000"/>
                  <w:sz w:val="20"/>
                </w:rPr>
                <w:t> </w:t>
              </w:r>
              <w:proofErr w:type="spellStart"/>
              <w:r w:rsidRPr="00D27263">
                <w:rPr>
                  <w:rStyle w:val="csl-right-inline"/>
                  <w:rFonts w:ascii="Verdana" w:hAnsi="Verdana"/>
                  <w:color w:val="000000"/>
                  <w:sz w:val="20"/>
                </w:rPr>
                <w:t>Louw</w:t>
              </w:r>
              <w:proofErr w:type="spellEnd"/>
              <w:r w:rsidRPr="00D27263">
                <w:rPr>
                  <w:rStyle w:val="csl-right-inline"/>
                  <w:rFonts w:ascii="Verdana" w:hAnsi="Verdana"/>
                  <w:color w:val="000000"/>
                  <w:sz w:val="20"/>
                </w:rPr>
                <w:t xml:space="preserve"> A, </w:t>
              </w:r>
              <w:proofErr w:type="spellStart"/>
              <w:r w:rsidRPr="00D27263">
                <w:rPr>
                  <w:rStyle w:val="csl-right-inline"/>
                  <w:rFonts w:ascii="Verdana" w:hAnsi="Verdana"/>
                  <w:color w:val="000000"/>
                  <w:sz w:val="20"/>
                </w:rPr>
                <w:t>Zimney</w:t>
              </w:r>
              <w:proofErr w:type="spellEnd"/>
              <w:r w:rsidRPr="00D27263">
                <w:rPr>
                  <w:rStyle w:val="csl-right-inline"/>
                  <w:rFonts w:ascii="Verdana" w:hAnsi="Verdana"/>
                  <w:color w:val="000000"/>
                  <w:sz w:val="20"/>
                </w:rPr>
                <w:t xml:space="preserve"> K, </w:t>
              </w:r>
              <w:proofErr w:type="spellStart"/>
              <w:r w:rsidRPr="00D27263">
                <w:rPr>
                  <w:rStyle w:val="csl-right-inline"/>
                  <w:rFonts w:ascii="Verdana" w:hAnsi="Verdana"/>
                  <w:color w:val="000000"/>
                  <w:sz w:val="20"/>
                </w:rPr>
                <w:t>Puentedura</w:t>
              </w:r>
              <w:proofErr w:type="spellEnd"/>
              <w:r w:rsidRPr="00D27263">
                <w:rPr>
                  <w:rStyle w:val="csl-right-inline"/>
                  <w:rFonts w:ascii="Verdana" w:hAnsi="Verdana"/>
                  <w:color w:val="000000"/>
                  <w:sz w:val="20"/>
                </w:rPr>
                <w:t xml:space="preserve"> EJ, Diener I. The efficacy of pain neuroscience education on musculoskeletal pain: A systematic review of the literature. </w:t>
              </w:r>
              <w:proofErr w:type="spellStart"/>
              <w:r w:rsidRPr="00D27263">
                <w:rPr>
                  <w:rStyle w:val="csl-right-inline"/>
                  <w:rFonts w:ascii="Verdana" w:hAnsi="Verdana"/>
                  <w:i/>
                  <w:iCs/>
                  <w:color w:val="000000"/>
                  <w:sz w:val="20"/>
                </w:rPr>
                <w:t>Physiother</w:t>
              </w:r>
              <w:proofErr w:type="spellEnd"/>
              <w:r w:rsidRPr="00D27263">
                <w:rPr>
                  <w:rStyle w:val="csl-right-inline"/>
                  <w:rFonts w:ascii="Verdana" w:hAnsi="Verdana"/>
                  <w:i/>
                  <w:iCs/>
                  <w:color w:val="000000"/>
                  <w:sz w:val="20"/>
                </w:rPr>
                <w:t xml:space="preserve"> Theory </w:t>
              </w:r>
              <w:proofErr w:type="spellStart"/>
              <w:r w:rsidRPr="00D27263">
                <w:rPr>
                  <w:rStyle w:val="csl-right-inline"/>
                  <w:rFonts w:ascii="Verdana" w:hAnsi="Verdana"/>
                  <w:i/>
                  <w:iCs/>
                  <w:color w:val="000000"/>
                  <w:sz w:val="20"/>
                </w:rPr>
                <w:t>Pract</w:t>
              </w:r>
              <w:proofErr w:type="spellEnd"/>
              <w:r w:rsidRPr="00D27263">
                <w:rPr>
                  <w:rStyle w:val="csl-right-inline"/>
                  <w:rFonts w:ascii="Verdana" w:hAnsi="Verdana"/>
                  <w:color w:val="000000"/>
                  <w:sz w:val="20"/>
                </w:rPr>
                <w:t>. 2016;32(5):332-355. doi:10.1080/09593985.2016.1194646</w:t>
              </w:r>
            </w:hyperlink>
          </w:p>
          <w:p w14:paraId="63A8B573" w14:textId="77777777" w:rsidR="004503EC" w:rsidRPr="00D27263" w:rsidRDefault="004503EC" w:rsidP="004503EC">
            <w:pPr>
              <w:pStyle w:val="NormalWeb"/>
              <w:spacing w:afterLines="100" w:after="240" w:line="200" w:lineRule="auto"/>
              <w:ind w:left="580" w:hanging="580"/>
              <w:rPr>
                <w:rFonts w:ascii="Verdana" w:hAnsi="Verdana"/>
                <w:color w:val="000000"/>
                <w:sz w:val="20"/>
              </w:rPr>
            </w:pPr>
            <w:hyperlink r:id="rId7" w:history="1">
              <w:r w:rsidRPr="00D27263">
                <w:rPr>
                  <w:rStyle w:val="csl-left-margin"/>
                  <w:rFonts w:ascii="Verdana" w:hAnsi="Verdana"/>
                  <w:color w:val="000000"/>
                  <w:sz w:val="20"/>
                </w:rPr>
                <w:t>2. </w:t>
              </w:r>
              <w:r w:rsidRPr="00D27263">
                <w:rPr>
                  <w:rStyle w:val="csl-left-margin"/>
                  <w:rFonts w:ascii="Verdana" w:hAnsi="Verdana"/>
                  <w:color w:val="000000"/>
                  <w:sz w:val="20"/>
                </w:rPr>
                <w:t> </w:t>
              </w:r>
              <w:r w:rsidRPr="00D27263">
                <w:rPr>
                  <w:rStyle w:val="csl-left-margin"/>
                  <w:rFonts w:ascii="Verdana" w:hAnsi="Verdana"/>
                  <w:color w:val="000000"/>
                  <w:sz w:val="20"/>
                </w:rPr>
                <w:t> </w:t>
              </w:r>
              <w:r w:rsidRPr="00D27263">
                <w:rPr>
                  <w:rStyle w:val="csl-left-margin"/>
                  <w:rFonts w:ascii="Verdana" w:hAnsi="Verdana"/>
                  <w:color w:val="000000"/>
                  <w:sz w:val="20"/>
                </w:rPr>
                <w:t> </w:t>
              </w:r>
              <w:proofErr w:type="spellStart"/>
              <w:r w:rsidRPr="00D27263">
                <w:rPr>
                  <w:rStyle w:val="csl-right-inline"/>
                  <w:rFonts w:ascii="Verdana" w:hAnsi="Verdana"/>
                  <w:color w:val="000000"/>
                  <w:sz w:val="20"/>
                </w:rPr>
                <w:t>Barbari</w:t>
              </w:r>
              <w:proofErr w:type="spellEnd"/>
              <w:r w:rsidRPr="00D27263">
                <w:rPr>
                  <w:rStyle w:val="csl-right-inline"/>
                  <w:rFonts w:ascii="Verdana" w:hAnsi="Verdana"/>
                  <w:color w:val="000000"/>
                  <w:sz w:val="20"/>
                </w:rPr>
                <w:t xml:space="preserve"> V, </w:t>
              </w:r>
              <w:proofErr w:type="spellStart"/>
              <w:r w:rsidRPr="00D27263">
                <w:rPr>
                  <w:rStyle w:val="csl-right-inline"/>
                  <w:rFonts w:ascii="Verdana" w:hAnsi="Verdana"/>
                  <w:color w:val="000000"/>
                  <w:sz w:val="20"/>
                </w:rPr>
                <w:t>Storari</w:t>
              </w:r>
              <w:proofErr w:type="spellEnd"/>
              <w:r w:rsidRPr="00D27263">
                <w:rPr>
                  <w:rStyle w:val="csl-right-inline"/>
                  <w:rFonts w:ascii="Verdana" w:hAnsi="Verdana"/>
                  <w:color w:val="000000"/>
                  <w:sz w:val="20"/>
                </w:rPr>
                <w:t xml:space="preserve"> L, </w:t>
              </w:r>
              <w:proofErr w:type="spellStart"/>
              <w:r w:rsidRPr="00D27263">
                <w:rPr>
                  <w:rStyle w:val="csl-right-inline"/>
                  <w:rFonts w:ascii="Verdana" w:hAnsi="Verdana"/>
                  <w:color w:val="000000"/>
                  <w:sz w:val="20"/>
                </w:rPr>
                <w:t>Ciuro</w:t>
              </w:r>
              <w:proofErr w:type="spellEnd"/>
              <w:r w:rsidRPr="00D27263">
                <w:rPr>
                  <w:rStyle w:val="csl-right-inline"/>
                  <w:rFonts w:ascii="Verdana" w:hAnsi="Verdana"/>
                  <w:color w:val="000000"/>
                  <w:sz w:val="20"/>
                </w:rPr>
                <w:t xml:space="preserve"> A, Testa M. Effectiveness of communicative and educative strategies in chronic low back pain patients: A systematic review. </w:t>
              </w:r>
              <w:r w:rsidRPr="00D27263">
                <w:rPr>
                  <w:rStyle w:val="csl-right-inline"/>
                  <w:rFonts w:ascii="Verdana" w:hAnsi="Verdana"/>
                  <w:i/>
                  <w:iCs/>
                  <w:color w:val="000000"/>
                  <w:sz w:val="20"/>
                </w:rPr>
                <w:t xml:space="preserve">Patient Educ </w:t>
              </w:r>
              <w:proofErr w:type="spellStart"/>
              <w:r w:rsidRPr="00D27263">
                <w:rPr>
                  <w:rStyle w:val="csl-right-inline"/>
                  <w:rFonts w:ascii="Verdana" w:hAnsi="Verdana"/>
                  <w:i/>
                  <w:iCs/>
                  <w:color w:val="000000"/>
                  <w:sz w:val="20"/>
                </w:rPr>
                <w:t>Couns</w:t>
              </w:r>
              <w:proofErr w:type="spellEnd"/>
              <w:r w:rsidRPr="00D27263">
                <w:rPr>
                  <w:rStyle w:val="csl-right-inline"/>
                  <w:rFonts w:ascii="Verdana" w:hAnsi="Verdana"/>
                  <w:color w:val="000000"/>
                  <w:sz w:val="20"/>
                </w:rPr>
                <w:t xml:space="preserve">. 2020;103(5):908-929. </w:t>
              </w:r>
              <w:proofErr w:type="gramStart"/>
              <w:r w:rsidRPr="00D27263">
                <w:rPr>
                  <w:rStyle w:val="csl-right-inline"/>
                  <w:rFonts w:ascii="Verdana" w:hAnsi="Verdana"/>
                  <w:color w:val="000000"/>
                  <w:sz w:val="20"/>
                </w:rPr>
                <w:t>doi:10.1016/j.pec</w:t>
              </w:r>
              <w:proofErr w:type="gramEnd"/>
              <w:r w:rsidRPr="00D27263">
                <w:rPr>
                  <w:rStyle w:val="csl-right-inline"/>
                  <w:rFonts w:ascii="Verdana" w:hAnsi="Verdana"/>
                  <w:color w:val="000000"/>
                  <w:sz w:val="20"/>
                </w:rPr>
                <w:t>.2019.11.031</w:t>
              </w:r>
            </w:hyperlink>
          </w:p>
          <w:p w14:paraId="5A45DC4F" w14:textId="77777777" w:rsidR="004503EC" w:rsidRPr="00D27263" w:rsidRDefault="004503EC" w:rsidP="004503EC">
            <w:pPr>
              <w:pStyle w:val="NormalWeb"/>
              <w:spacing w:afterLines="100" w:after="240" w:line="200" w:lineRule="auto"/>
              <w:ind w:left="580" w:hanging="580"/>
              <w:rPr>
                <w:rFonts w:ascii="Verdana" w:hAnsi="Verdana"/>
                <w:color w:val="000000"/>
                <w:sz w:val="20"/>
              </w:rPr>
            </w:pPr>
            <w:hyperlink r:id="rId8" w:history="1">
              <w:r w:rsidRPr="00D27263">
                <w:rPr>
                  <w:rStyle w:val="csl-left-margin"/>
                  <w:rFonts w:ascii="Verdana" w:hAnsi="Verdana"/>
                  <w:color w:val="000000"/>
                  <w:sz w:val="20"/>
                </w:rPr>
                <w:t>3. </w:t>
              </w:r>
              <w:r w:rsidRPr="00D27263">
                <w:rPr>
                  <w:rStyle w:val="csl-left-margin"/>
                  <w:rFonts w:ascii="Verdana" w:hAnsi="Verdana"/>
                  <w:color w:val="000000"/>
                  <w:sz w:val="20"/>
                </w:rPr>
                <w:t> </w:t>
              </w:r>
              <w:r w:rsidRPr="00D27263">
                <w:rPr>
                  <w:rStyle w:val="csl-left-margin"/>
                  <w:rFonts w:ascii="Verdana" w:hAnsi="Verdana"/>
                  <w:color w:val="000000"/>
                  <w:sz w:val="20"/>
                </w:rPr>
                <w:t> </w:t>
              </w:r>
              <w:r w:rsidRPr="00D27263">
                <w:rPr>
                  <w:rStyle w:val="csl-left-margin"/>
                  <w:rFonts w:ascii="Verdana" w:hAnsi="Verdana"/>
                  <w:color w:val="000000"/>
                  <w:sz w:val="20"/>
                </w:rPr>
                <w:t> </w:t>
              </w:r>
              <w:r w:rsidRPr="00D27263">
                <w:rPr>
                  <w:rStyle w:val="csl-right-inline"/>
                  <w:rFonts w:ascii="Verdana" w:hAnsi="Verdana"/>
                  <w:color w:val="000000"/>
                  <w:sz w:val="20"/>
                </w:rPr>
                <w:t xml:space="preserve">Bodes Pardo G, </w:t>
              </w:r>
              <w:proofErr w:type="spellStart"/>
              <w:r w:rsidRPr="00D27263">
                <w:rPr>
                  <w:rStyle w:val="csl-right-inline"/>
                  <w:rFonts w:ascii="Verdana" w:hAnsi="Verdana"/>
                  <w:color w:val="000000"/>
                  <w:sz w:val="20"/>
                </w:rPr>
                <w:t>Lluch</w:t>
              </w:r>
              <w:proofErr w:type="spellEnd"/>
              <w:r w:rsidRPr="00D27263">
                <w:rPr>
                  <w:rStyle w:val="csl-right-inline"/>
                  <w:rFonts w:ascii="Verdana" w:hAnsi="Verdana"/>
                  <w:color w:val="000000"/>
                  <w:sz w:val="20"/>
                </w:rPr>
                <w:t xml:space="preserve"> </w:t>
              </w:r>
              <w:proofErr w:type="spellStart"/>
              <w:r w:rsidRPr="00D27263">
                <w:rPr>
                  <w:rStyle w:val="csl-right-inline"/>
                  <w:rFonts w:ascii="Verdana" w:hAnsi="Verdana"/>
                  <w:color w:val="000000"/>
                  <w:sz w:val="20"/>
                </w:rPr>
                <w:t>Girbés</w:t>
              </w:r>
              <w:proofErr w:type="spellEnd"/>
              <w:r w:rsidRPr="00D27263">
                <w:rPr>
                  <w:rStyle w:val="csl-right-inline"/>
                  <w:rFonts w:ascii="Verdana" w:hAnsi="Verdana"/>
                  <w:color w:val="000000"/>
                  <w:sz w:val="20"/>
                </w:rPr>
                <w:t xml:space="preserve"> E, Roussel NA, Gallego </w:t>
              </w:r>
              <w:proofErr w:type="spellStart"/>
              <w:r w:rsidRPr="00D27263">
                <w:rPr>
                  <w:rStyle w:val="csl-right-inline"/>
                  <w:rFonts w:ascii="Verdana" w:hAnsi="Verdana"/>
                  <w:color w:val="000000"/>
                  <w:sz w:val="20"/>
                </w:rPr>
                <w:t>Izquierdo</w:t>
              </w:r>
              <w:proofErr w:type="spellEnd"/>
              <w:r w:rsidRPr="00D27263">
                <w:rPr>
                  <w:rStyle w:val="csl-right-inline"/>
                  <w:rFonts w:ascii="Verdana" w:hAnsi="Verdana"/>
                  <w:color w:val="000000"/>
                  <w:sz w:val="20"/>
                </w:rPr>
                <w:t xml:space="preserve"> T, Jiménez Penick V, Pecos Martín D. Pain Neurophysiology Education and Therapeutic Exercise for Patients </w:t>
              </w:r>
              <w:proofErr w:type="gramStart"/>
              <w:r w:rsidRPr="00D27263">
                <w:rPr>
                  <w:rStyle w:val="csl-right-inline"/>
                  <w:rFonts w:ascii="Verdana" w:hAnsi="Verdana"/>
                  <w:color w:val="000000"/>
                  <w:sz w:val="20"/>
                </w:rPr>
                <w:t>With</w:t>
              </w:r>
              <w:proofErr w:type="gramEnd"/>
              <w:r w:rsidRPr="00D27263">
                <w:rPr>
                  <w:rStyle w:val="csl-right-inline"/>
                  <w:rFonts w:ascii="Verdana" w:hAnsi="Verdana"/>
                  <w:color w:val="000000"/>
                  <w:sz w:val="20"/>
                </w:rPr>
                <w:t xml:space="preserve"> Chronic Low Back Pain: A Single-Blind Randomized Controlled Trial. </w:t>
              </w:r>
              <w:r w:rsidRPr="00D27263">
                <w:rPr>
                  <w:rStyle w:val="csl-right-inline"/>
                  <w:rFonts w:ascii="Verdana" w:hAnsi="Verdana"/>
                  <w:i/>
                  <w:iCs/>
                  <w:color w:val="000000"/>
                  <w:sz w:val="20"/>
                </w:rPr>
                <w:t xml:space="preserve">Arch Phys Med </w:t>
              </w:r>
              <w:proofErr w:type="spellStart"/>
              <w:r w:rsidRPr="00D27263">
                <w:rPr>
                  <w:rStyle w:val="csl-right-inline"/>
                  <w:rFonts w:ascii="Verdana" w:hAnsi="Verdana"/>
                  <w:i/>
                  <w:iCs/>
                  <w:color w:val="000000"/>
                  <w:sz w:val="20"/>
                </w:rPr>
                <w:t>Rehabil</w:t>
              </w:r>
              <w:proofErr w:type="spellEnd"/>
              <w:r w:rsidRPr="00D27263">
                <w:rPr>
                  <w:rStyle w:val="csl-right-inline"/>
                  <w:rFonts w:ascii="Verdana" w:hAnsi="Verdana"/>
                  <w:color w:val="000000"/>
                  <w:sz w:val="20"/>
                </w:rPr>
                <w:t xml:space="preserve">. 2018;99(2):338-347. </w:t>
              </w:r>
              <w:proofErr w:type="gramStart"/>
              <w:r w:rsidRPr="00D27263">
                <w:rPr>
                  <w:rStyle w:val="csl-right-inline"/>
                  <w:rFonts w:ascii="Verdana" w:hAnsi="Verdana"/>
                  <w:color w:val="000000"/>
                  <w:sz w:val="20"/>
                </w:rPr>
                <w:t>doi:10.1016/j.apmr</w:t>
              </w:r>
              <w:proofErr w:type="gramEnd"/>
              <w:r w:rsidRPr="00D27263">
                <w:rPr>
                  <w:rStyle w:val="csl-right-inline"/>
                  <w:rFonts w:ascii="Verdana" w:hAnsi="Verdana"/>
                  <w:color w:val="000000"/>
                  <w:sz w:val="20"/>
                </w:rPr>
                <w:t>.2017.10.016</w:t>
              </w:r>
            </w:hyperlink>
          </w:p>
          <w:p w14:paraId="4521B33E" w14:textId="77777777" w:rsidR="004503EC" w:rsidRPr="00D27263" w:rsidRDefault="004503EC" w:rsidP="004503EC">
            <w:pPr>
              <w:pStyle w:val="NormalWeb"/>
              <w:spacing w:afterLines="100" w:after="240" w:line="200" w:lineRule="auto"/>
              <w:ind w:left="580" w:hanging="580"/>
              <w:rPr>
                <w:rFonts w:ascii="Verdana" w:hAnsi="Verdana"/>
                <w:color w:val="000000"/>
                <w:sz w:val="20"/>
              </w:rPr>
            </w:pPr>
            <w:hyperlink r:id="rId9" w:history="1">
              <w:r w:rsidRPr="00D27263">
                <w:rPr>
                  <w:rStyle w:val="csl-left-margin"/>
                  <w:rFonts w:ascii="Verdana" w:hAnsi="Verdana"/>
                  <w:color w:val="000000"/>
                  <w:sz w:val="20"/>
                </w:rPr>
                <w:t>4. </w:t>
              </w:r>
              <w:r w:rsidRPr="00D27263">
                <w:rPr>
                  <w:rStyle w:val="csl-left-margin"/>
                  <w:rFonts w:ascii="Verdana" w:hAnsi="Verdana"/>
                  <w:color w:val="000000"/>
                  <w:sz w:val="20"/>
                </w:rPr>
                <w:t> </w:t>
              </w:r>
              <w:r w:rsidRPr="00D27263">
                <w:rPr>
                  <w:rStyle w:val="csl-left-margin"/>
                  <w:rFonts w:ascii="Verdana" w:hAnsi="Verdana"/>
                  <w:color w:val="000000"/>
                  <w:sz w:val="20"/>
                </w:rPr>
                <w:t> </w:t>
              </w:r>
              <w:r w:rsidRPr="00D27263">
                <w:rPr>
                  <w:rStyle w:val="csl-left-margin"/>
                  <w:rFonts w:ascii="Verdana" w:hAnsi="Verdana"/>
                  <w:color w:val="000000"/>
                  <w:sz w:val="20"/>
                </w:rPr>
                <w:t> </w:t>
              </w:r>
              <w:proofErr w:type="spellStart"/>
              <w:r w:rsidRPr="00D27263">
                <w:rPr>
                  <w:rStyle w:val="csl-right-inline"/>
                  <w:rFonts w:ascii="Verdana" w:hAnsi="Verdana"/>
                  <w:color w:val="000000"/>
                  <w:sz w:val="20"/>
                </w:rPr>
                <w:t>Malfliet</w:t>
              </w:r>
              <w:proofErr w:type="spellEnd"/>
              <w:r w:rsidRPr="00D27263">
                <w:rPr>
                  <w:rStyle w:val="csl-right-inline"/>
                  <w:rFonts w:ascii="Verdana" w:hAnsi="Verdana"/>
                  <w:color w:val="000000"/>
                  <w:sz w:val="20"/>
                </w:rPr>
                <w:t xml:space="preserve"> A, Kregel J, </w:t>
              </w:r>
              <w:proofErr w:type="spellStart"/>
              <w:r w:rsidRPr="00D27263">
                <w:rPr>
                  <w:rStyle w:val="csl-right-inline"/>
                  <w:rFonts w:ascii="Verdana" w:hAnsi="Verdana"/>
                  <w:color w:val="000000"/>
                  <w:sz w:val="20"/>
                </w:rPr>
                <w:t>Coppieters</w:t>
              </w:r>
              <w:proofErr w:type="spellEnd"/>
              <w:r w:rsidRPr="00D27263">
                <w:rPr>
                  <w:rStyle w:val="csl-right-inline"/>
                  <w:rFonts w:ascii="Verdana" w:hAnsi="Verdana"/>
                  <w:color w:val="000000"/>
                  <w:sz w:val="20"/>
                </w:rPr>
                <w:t xml:space="preserve"> I, et al. Effect of Pain Neuroscience Education Combined </w:t>
              </w:r>
              <w:proofErr w:type="gramStart"/>
              <w:r w:rsidRPr="00D27263">
                <w:rPr>
                  <w:rStyle w:val="csl-right-inline"/>
                  <w:rFonts w:ascii="Verdana" w:hAnsi="Verdana"/>
                  <w:color w:val="000000"/>
                  <w:sz w:val="20"/>
                </w:rPr>
                <w:t>With</w:t>
              </w:r>
              <w:proofErr w:type="gramEnd"/>
              <w:r w:rsidRPr="00D27263">
                <w:rPr>
                  <w:rStyle w:val="csl-right-inline"/>
                  <w:rFonts w:ascii="Verdana" w:hAnsi="Verdana"/>
                  <w:color w:val="000000"/>
                  <w:sz w:val="20"/>
                </w:rPr>
                <w:t xml:space="preserve"> Cognition-Targeted Motor Control Training on Chronic Spinal Pain: A Randomized Clinical Trial. </w:t>
              </w:r>
              <w:r w:rsidRPr="00D27263">
                <w:rPr>
                  <w:rStyle w:val="csl-right-inline"/>
                  <w:rFonts w:ascii="Verdana" w:hAnsi="Verdana"/>
                  <w:i/>
                  <w:iCs/>
                  <w:color w:val="000000"/>
                  <w:sz w:val="20"/>
                </w:rPr>
                <w:t>JAMA Neurol</w:t>
              </w:r>
              <w:r w:rsidRPr="00D27263">
                <w:rPr>
                  <w:rStyle w:val="csl-right-inline"/>
                  <w:rFonts w:ascii="Verdana" w:hAnsi="Verdana"/>
                  <w:color w:val="000000"/>
                  <w:sz w:val="20"/>
                </w:rPr>
                <w:t>. 2018;75(7):808-817. doi:10.1001/jamaneurol.2018.0492</w:t>
              </w:r>
            </w:hyperlink>
          </w:p>
          <w:p w14:paraId="38E6249F" w14:textId="77777777" w:rsidR="004503EC" w:rsidRPr="00D27263" w:rsidRDefault="004503EC" w:rsidP="004503EC">
            <w:pPr>
              <w:pStyle w:val="NormalWeb"/>
              <w:spacing w:afterLines="100" w:after="240" w:line="200" w:lineRule="auto"/>
              <w:ind w:left="580" w:hanging="580"/>
              <w:rPr>
                <w:rFonts w:ascii="Verdana" w:hAnsi="Verdana"/>
                <w:color w:val="000000"/>
                <w:sz w:val="20"/>
              </w:rPr>
            </w:pPr>
            <w:hyperlink r:id="rId10" w:history="1">
              <w:r w:rsidRPr="00D27263">
                <w:rPr>
                  <w:rStyle w:val="csl-left-margin"/>
                  <w:rFonts w:ascii="Verdana" w:hAnsi="Verdana"/>
                  <w:color w:val="000000"/>
                  <w:sz w:val="20"/>
                </w:rPr>
                <w:t>5. </w:t>
              </w:r>
              <w:r w:rsidRPr="00D27263">
                <w:rPr>
                  <w:rStyle w:val="csl-left-margin"/>
                  <w:rFonts w:ascii="Verdana" w:hAnsi="Verdana"/>
                  <w:color w:val="000000"/>
                  <w:sz w:val="20"/>
                </w:rPr>
                <w:t> </w:t>
              </w:r>
              <w:r w:rsidRPr="00D27263">
                <w:rPr>
                  <w:rStyle w:val="csl-left-margin"/>
                  <w:rFonts w:ascii="Verdana" w:hAnsi="Verdana"/>
                  <w:color w:val="000000"/>
                  <w:sz w:val="20"/>
                </w:rPr>
                <w:t> </w:t>
              </w:r>
              <w:r w:rsidRPr="00D27263">
                <w:rPr>
                  <w:rStyle w:val="csl-left-margin"/>
                  <w:rFonts w:ascii="Verdana" w:hAnsi="Verdana"/>
                  <w:color w:val="000000"/>
                  <w:sz w:val="20"/>
                </w:rPr>
                <w:t> </w:t>
              </w:r>
              <w:proofErr w:type="spellStart"/>
              <w:r w:rsidRPr="00D27263">
                <w:rPr>
                  <w:rStyle w:val="csl-right-inline"/>
                  <w:rFonts w:ascii="Verdana" w:hAnsi="Verdana"/>
                  <w:color w:val="000000"/>
                  <w:sz w:val="20"/>
                </w:rPr>
                <w:t>Téllez</w:t>
              </w:r>
              <w:proofErr w:type="spellEnd"/>
              <w:r w:rsidRPr="00D27263">
                <w:rPr>
                  <w:rStyle w:val="csl-right-inline"/>
                  <w:rFonts w:ascii="Verdana" w:hAnsi="Verdana"/>
                  <w:color w:val="000000"/>
                  <w:sz w:val="20"/>
                </w:rPr>
                <w:t>-García M, de-la-</w:t>
              </w:r>
              <w:proofErr w:type="spellStart"/>
              <w:r w:rsidRPr="00D27263">
                <w:rPr>
                  <w:rStyle w:val="csl-right-inline"/>
                  <w:rFonts w:ascii="Verdana" w:hAnsi="Verdana"/>
                  <w:color w:val="000000"/>
                  <w:sz w:val="20"/>
                </w:rPr>
                <w:t>Llave</w:t>
              </w:r>
              <w:proofErr w:type="spellEnd"/>
              <w:r w:rsidRPr="00D27263">
                <w:rPr>
                  <w:rStyle w:val="csl-right-inline"/>
                  <w:rFonts w:ascii="Verdana" w:hAnsi="Verdana"/>
                  <w:color w:val="000000"/>
                  <w:sz w:val="20"/>
                </w:rPr>
                <w:t>-</w:t>
              </w:r>
              <w:proofErr w:type="spellStart"/>
              <w:r w:rsidRPr="00D27263">
                <w:rPr>
                  <w:rStyle w:val="csl-right-inline"/>
                  <w:rFonts w:ascii="Verdana" w:hAnsi="Verdana"/>
                  <w:color w:val="000000"/>
                  <w:sz w:val="20"/>
                </w:rPr>
                <w:t>Rincón</w:t>
              </w:r>
              <w:proofErr w:type="spellEnd"/>
              <w:r w:rsidRPr="00D27263">
                <w:rPr>
                  <w:rStyle w:val="csl-right-inline"/>
                  <w:rFonts w:ascii="Verdana" w:hAnsi="Verdana"/>
                  <w:color w:val="000000"/>
                  <w:sz w:val="20"/>
                </w:rPr>
                <w:t xml:space="preserve"> AI, </w:t>
              </w:r>
              <w:proofErr w:type="spellStart"/>
              <w:r w:rsidRPr="00D27263">
                <w:rPr>
                  <w:rStyle w:val="csl-right-inline"/>
                  <w:rFonts w:ascii="Verdana" w:hAnsi="Verdana"/>
                  <w:color w:val="000000"/>
                  <w:sz w:val="20"/>
                </w:rPr>
                <w:t>Salom</w:t>
              </w:r>
              <w:proofErr w:type="spellEnd"/>
              <w:r w:rsidRPr="00D27263">
                <w:rPr>
                  <w:rStyle w:val="csl-right-inline"/>
                  <w:rFonts w:ascii="Verdana" w:hAnsi="Verdana"/>
                  <w:color w:val="000000"/>
                  <w:sz w:val="20"/>
                </w:rPr>
                <w:t>-Moreno J, Palacios-</w:t>
              </w:r>
              <w:proofErr w:type="spellStart"/>
              <w:r w:rsidRPr="00D27263">
                <w:rPr>
                  <w:rStyle w:val="csl-right-inline"/>
                  <w:rFonts w:ascii="Verdana" w:hAnsi="Verdana"/>
                  <w:color w:val="000000"/>
                  <w:sz w:val="20"/>
                </w:rPr>
                <w:t>Ceña</w:t>
              </w:r>
              <w:proofErr w:type="spellEnd"/>
              <w:r w:rsidRPr="00D27263">
                <w:rPr>
                  <w:rStyle w:val="csl-right-inline"/>
                  <w:rFonts w:ascii="Verdana" w:hAnsi="Verdana"/>
                  <w:color w:val="000000"/>
                  <w:sz w:val="20"/>
                </w:rPr>
                <w:t xml:space="preserve"> M, Ortega-Santiago R, Fernández-de-Las-</w:t>
              </w:r>
              <w:proofErr w:type="spellStart"/>
              <w:r w:rsidRPr="00D27263">
                <w:rPr>
                  <w:rStyle w:val="csl-right-inline"/>
                  <w:rFonts w:ascii="Verdana" w:hAnsi="Verdana"/>
                  <w:color w:val="000000"/>
                  <w:sz w:val="20"/>
                </w:rPr>
                <w:t>Peñas</w:t>
              </w:r>
              <w:proofErr w:type="spellEnd"/>
              <w:r w:rsidRPr="00D27263">
                <w:rPr>
                  <w:rStyle w:val="csl-right-inline"/>
                  <w:rFonts w:ascii="Verdana" w:hAnsi="Verdana"/>
                  <w:color w:val="000000"/>
                  <w:sz w:val="20"/>
                </w:rPr>
                <w:t xml:space="preserve"> C. Neuroscience education in addition to trigger point dry needling for the management of patients with mechanical chronic low back pain: A preliminary clinical trial. </w:t>
              </w:r>
              <w:r w:rsidRPr="00D27263">
                <w:rPr>
                  <w:rStyle w:val="csl-right-inline"/>
                  <w:rFonts w:ascii="Verdana" w:hAnsi="Verdana"/>
                  <w:i/>
                  <w:iCs/>
                  <w:color w:val="000000"/>
                  <w:sz w:val="20"/>
                </w:rPr>
                <w:t xml:space="preserve">J </w:t>
              </w:r>
              <w:proofErr w:type="spellStart"/>
              <w:r w:rsidRPr="00D27263">
                <w:rPr>
                  <w:rStyle w:val="csl-right-inline"/>
                  <w:rFonts w:ascii="Verdana" w:hAnsi="Verdana"/>
                  <w:i/>
                  <w:iCs/>
                  <w:color w:val="000000"/>
                  <w:sz w:val="20"/>
                </w:rPr>
                <w:t>Bodyw</w:t>
              </w:r>
              <w:proofErr w:type="spellEnd"/>
              <w:r w:rsidRPr="00D27263">
                <w:rPr>
                  <w:rStyle w:val="csl-right-inline"/>
                  <w:rFonts w:ascii="Verdana" w:hAnsi="Verdana"/>
                  <w:i/>
                  <w:iCs/>
                  <w:color w:val="000000"/>
                  <w:sz w:val="20"/>
                </w:rPr>
                <w:t xml:space="preserve"> Mov </w:t>
              </w:r>
              <w:proofErr w:type="spellStart"/>
              <w:r w:rsidRPr="00D27263">
                <w:rPr>
                  <w:rStyle w:val="csl-right-inline"/>
                  <w:rFonts w:ascii="Verdana" w:hAnsi="Verdana"/>
                  <w:i/>
                  <w:iCs/>
                  <w:color w:val="000000"/>
                  <w:sz w:val="20"/>
                </w:rPr>
                <w:t>Ther</w:t>
              </w:r>
              <w:proofErr w:type="spellEnd"/>
              <w:r w:rsidRPr="00D27263">
                <w:rPr>
                  <w:rStyle w:val="csl-right-inline"/>
                  <w:rFonts w:ascii="Verdana" w:hAnsi="Verdana"/>
                  <w:color w:val="000000"/>
                  <w:sz w:val="20"/>
                </w:rPr>
                <w:t xml:space="preserve">. 2015;19(3):464-472. </w:t>
              </w:r>
              <w:proofErr w:type="gramStart"/>
              <w:r w:rsidRPr="00D27263">
                <w:rPr>
                  <w:rStyle w:val="csl-right-inline"/>
                  <w:rFonts w:ascii="Verdana" w:hAnsi="Verdana"/>
                  <w:color w:val="000000"/>
                  <w:sz w:val="20"/>
                </w:rPr>
                <w:t>doi:10.1016/j.jbmt</w:t>
              </w:r>
              <w:proofErr w:type="gramEnd"/>
              <w:r w:rsidRPr="00D27263">
                <w:rPr>
                  <w:rStyle w:val="csl-right-inline"/>
                  <w:rFonts w:ascii="Verdana" w:hAnsi="Verdana"/>
                  <w:color w:val="000000"/>
                  <w:sz w:val="20"/>
                </w:rPr>
                <w:t>.2014.11.012</w:t>
              </w:r>
            </w:hyperlink>
          </w:p>
          <w:p w14:paraId="7017AC18" w14:textId="77777777" w:rsidR="004503EC" w:rsidRPr="00D27263" w:rsidRDefault="004503EC" w:rsidP="004503EC">
            <w:pPr>
              <w:pStyle w:val="NormalWeb"/>
              <w:spacing w:afterLines="100" w:after="240" w:line="200" w:lineRule="auto"/>
              <w:ind w:left="580" w:hanging="580"/>
              <w:rPr>
                <w:rFonts w:ascii="Verdana" w:hAnsi="Verdana"/>
                <w:color w:val="000000"/>
                <w:sz w:val="20"/>
              </w:rPr>
            </w:pPr>
            <w:hyperlink r:id="rId11" w:history="1">
              <w:r w:rsidRPr="00D27263">
                <w:rPr>
                  <w:rStyle w:val="csl-left-margin"/>
                  <w:rFonts w:ascii="Verdana" w:hAnsi="Verdana"/>
                  <w:color w:val="000000"/>
                  <w:sz w:val="20"/>
                </w:rPr>
                <w:t>6. </w:t>
              </w:r>
              <w:r w:rsidRPr="00D27263">
                <w:rPr>
                  <w:rStyle w:val="csl-left-margin"/>
                  <w:rFonts w:ascii="Verdana" w:hAnsi="Verdana"/>
                  <w:color w:val="000000"/>
                  <w:sz w:val="20"/>
                </w:rPr>
                <w:t> </w:t>
              </w:r>
              <w:r w:rsidRPr="00D27263">
                <w:rPr>
                  <w:rStyle w:val="csl-left-margin"/>
                  <w:rFonts w:ascii="Verdana" w:hAnsi="Verdana"/>
                  <w:color w:val="000000"/>
                  <w:sz w:val="20"/>
                </w:rPr>
                <w:t> </w:t>
              </w:r>
              <w:r w:rsidRPr="00D27263">
                <w:rPr>
                  <w:rStyle w:val="csl-left-margin"/>
                  <w:rFonts w:ascii="Verdana" w:hAnsi="Verdana"/>
                  <w:color w:val="000000"/>
                  <w:sz w:val="20"/>
                </w:rPr>
                <w:t> </w:t>
              </w:r>
              <w:proofErr w:type="spellStart"/>
              <w:r w:rsidRPr="00D27263">
                <w:rPr>
                  <w:rStyle w:val="csl-right-inline"/>
                  <w:rFonts w:ascii="Verdana" w:hAnsi="Verdana"/>
                  <w:color w:val="000000"/>
                  <w:sz w:val="20"/>
                </w:rPr>
                <w:t>Sillevis</w:t>
              </w:r>
              <w:proofErr w:type="spellEnd"/>
              <w:r w:rsidRPr="00D27263">
                <w:rPr>
                  <w:rStyle w:val="csl-right-inline"/>
                  <w:rFonts w:ascii="Verdana" w:hAnsi="Verdana"/>
                  <w:color w:val="000000"/>
                  <w:sz w:val="20"/>
                </w:rPr>
                <w:t xml:space="preserve"> R, </w:t>
              </w:r>
              <w:proofErr w:type="spellStart"/>
              <w:r w:rsidRPr="00D27263">
                <w:rPr>
                  <w:rStyle w:val="csl-right-inline"/>
                  <w:rFonts w:ascii="Verdana" w:hAnsi="Verdana"/>
                  <w:color w:val="000000"/>
                  <w:sz w:val="20"/>
                </w:rPr>
                <w:t>Trincado</w:t>
              </w:r>
              <w:proofErr w:type="spellEnd"/>
              <w:r w:rsidRPr="00D27263">
                <w:rPr>
                  <w:rStyle w:val="csl-right-inline"/>
                  <w:rFonts w:ascii="Verdana" w:hAnsi="Verdana"/>
                  <w:color w:val="000000"/>
                  <w:sz w:val="20"/>
                </w:rPr>
                <w:t xml:space="preserve"> G, Shamus E. The immediate effect of a single session of pain neuroscience education on pain and the autonomic nervous system in subjects with persistent pain, a pilot study. </w:t>
              </w:r>
              <w:proofErr w:type="spellStart"/>
              <w:r w:rsidRPr="00D27263">
                <w:rPr>
                  <w:rStyle w:val="csl-right-inline"/>
                  <w:rFonts w:ascii="Verdana" w:hAnsi="Verdana"/>
                  <w:i/>
                  <w:iCs/>
                  <w:color w:val="000000"/>
                  <w:sz w:val="20"/>
                </w:rPr>
                <w:t>PeerJ</w:t>
              </w:r>
              <w:proofErr w:type="spellEnd"/>
              <w:r w:rsidRPr="00D27263">
                <w:rPr>
                  <w:rStyle w:val="csl-right-inline"/>
                  <w:rFonts w:ascii="Verdana" w:hAnsi="Verdana"/>
                  <w:color w:val="000000"/>
                  <w:sz w:val="20"/>
                </w:rPr>
                <w:t>. 2021;</w:t>
              </w:r>
              <w:proofErr w:type="gramStart"/>
              <w:r w:rsidRPr="00D27263">
                <w:rPr>
                  <w:rStyle w:val="csl-right-inline"/>
                  <w:rFonts w:ascii="Verdana" w:hAnsi="Verdana"/>
                  <w:color w:val="000000"/>
                  <w:sz w:val="20"/>
                </w:rPr>
                <w:t>9:e</w:t>
              </w:r>
              <w:proofErr w:type="gramEnd"/>
              <w:r w:rsidRPr="00D27263">
                <w:rPr>
                  <w:rStyle w:val="csl-right-inline"/>
                  <w:rFonts w:ascii="Verdana" w:hAnsi="Verdana"/>
                  <w:color w:val="000000"/>
                  <w:sz w:val="20"/>
                </w:rPr>
                <w:t>11543. doi:10.7717/peerj.11543</w:t>
              </w:r>
            </w:hyperlink>
          </w:p>
          <w:p w14:paraId="573207BC" w14:textId="77777777" w:rsidR="004503EC" w:rsidRDefault="004503EC" w:rsidP="004503EC">
            <w:pPr>
              <w:spacing w:afterLines="100" w:after="240" w:line="200" w:lineRule="auto"/>
              <w:ind w:left="580" w:hanging="580"/>
              <w:rPr>
                <w:color w:val="000000"/>
              </w:rPr>
            </w:pPr>
            <w:hyperlink r:id="rId12" w:history="1">
              <w:r w:rsidRPr="00D27263">
                <w:rPr>
                  <w:rStyle w:val="csl-left-margin"/>
                  <w:color w:val="000000"/>
                </w:rPr>
                <w:t>7. </w:t>
              </w:r>
              <w:r w:rsidRPr="00D27263">
                <w:rPr>
                  <w:rStyle w:val="csl-left-margin"/>
                  <w:color w:val="000000"/>
                </w:rPr>
                <w:t> </w:t>
              </w:r>
              <w:r w:rsidRPr="00D27263">
                <w:rPr>
                  <w:rStyle w:val="csl-left-margin"/>
                  <w:color w:val="000000"/>
                </w:rPr>
                <w:t> </w:t>
              </w:r>
              <w:r w:rsidRPr="00D27263">
                <w:rPr>
                  <w:rStyle w:val="csl-left-margin"/>
                  <w:color w:val="000000"/>
                </w:rPr>
                <w:t> </w:t>
              </w:r>
              <w:proofErr w:type="spellStart"/>
              <w:r w:rsidRPr="00D27263">
                <w:rPr>
                  <w:rStyle w:val="csl-right-inline"/>
                  <w:color w:val="000000"/>
                </w:rPr>
                <w:t>Malfliet</w:t>
              </w:r>
              <w:proofErr w:type="spellEnd"/>
              <w:r w:rsidRPr="00D27263">
                <w:rPr>
                  <w:rStyle w:val="csl-right-inline"/>
                  <w:color w:val="000000"/>
                </w:rPr>
                <w:t xml:space="preserve"> A, Kregel J, </w:t>
              </w:r>
              <w:proofErr w:type="spellStart"/>
              <w:r w:rsidRPr="00D27263">
                <w:rPr>
                  <w:rStyle w:val="csl-right-inline"/>
                  <w:color w:val="000000"/>
                </w:rPr>
                <w:t>Meeus</w:t>
              </w:r>
              <w:proofErr w:type="spellEnd"/>
              <w:r w:rsidRPr="00D27263">
                <w:rPr>
                  <w:rStyle w:val="csl-right-inline"/>
                  <w:color w:val="000000"/>
                </w:rPr>
                <w:t xml:space="preserve"> M, et al. Blended-Learning Pain Neuroscience Education for People </w:t>
              </w:r>
              <w:proofErr w:type="gramStart"/>
              <w:r w:rsidRPr="00D27263">
                <w:rPr>
                  <w:rStyle w:val="csl-right-inline"/>
                  <w:color w:val="000000"/>
                </w:rPr>
                <w:t>With</w:t>
              </w:r>
              <w:proofErr w:type="gramEnd"/>
              <w:r w:rsidRPr="00D27263">
                <w:rPr>
                  <w:rStyle w:val="csl-right-inline"/>
                  <w:color w:val="000000"/>
                </w:rPr>
                <w:t xml:space="preserve"> Chronic Spinal Pain: Randomized Controlled </w:t>
              </w:r>
              <w:proofErr w:type="spellStart"/>
              <w:r w:rsidRPr="00D27263">
                <w:rPr>
                  <w:rStyle w:val="csl-right-inline"/>
                  <w:color w:val="000000"/>
                </w:rPr>
                <w:t>Multicenter</w:t>
              </w:r>
              <w:proofErr w:type="spellEnd"/>
              <w:r w:rsidRPr="00D27263">
                <w:rPr>
                  <w:rStyle w:val="csl-right-inline"/>
                  <w:color w:val="000000"/>
                </w:rPr>
                <w:t xml:space="preserve"> Trial. </w:t>
              </w:r>
              <w:r w:rsidRPr="00D27263">
                <w:rPr>
                  <w:rStyle w:val="csl-right-inline"/>
                  <w:i/>
                  <w:iCs/>
                  <w:color w:val="000000"/>
                </w:rPr>
                <w:t xml:space="preserve">Phys </w:t>
              </w:r>
              <w:proofErr w:type="spellStart"/>
              <w:r w:rsidRPr="00D27263">
                <w:rPr>
                  <w:rStyle w:val="csl-right-inline"/>
                  <w:i/>
                  <w:iCs/>
                  <w:color w:val="000000"/>
                </w:rPr>
                <w:t>Ther</w:t>
              </w:r>
              <w:proofErr w:type="spellEnd"/>
              <w:r w:rsidRPr="00D27263">
                <w:rPr>
                  <w:rStyle w:val="csl-right-inline"/>
                  <w:color w:val="000000"/>
                </w:rPr>
                <w:t>. 2018;98(5):357-368. doi:10.1093/</w:t>
              </w:r>
              <w:proofErr w:type="spellStart"/>
              <w:r w:rsidRPr="00D27263">
                <w:rPr>
                  <w:rStyle w:val="csl-right-inline"/>
                  <w:color w:val="000000"/>
                </w:rPr>
                <w:t>ptj</w:t>
              </w:r>
              <w:proofErr w:type="spellEnd"/>
              <w:r w:rsidRPr="00D27263">
                <w:rPr>
                  <w:rStyle w:val="csl-right-inline"/>
                  <w:color w:val="000000"/>
                </w:rPr>
                <w:t>/pzx092</w:t>
              </w:r>
            </w:hyperlink>
            <w:r w:rsidRPr="00D27263">
              <w:rPr>
                <w:color w:val="000000"/>
              </w:rPr>
              <w:t xml:space="preserve"> </w:t>
            </w:r>
          </w:p>
          <w:p w14:paraId="1B397440" w14:textId="2D474949" w:rsidR="001E1518" w:rsidRPr="004503EC" w:rsidRDefault="004503EC" w:rsidP="004503EC">
            <w:pPr>
              <w:spacing w:afterLines="100" w:after="240" w:line="200" w:lineRule="auto"/>
              <w:ind w:left="580" w:hanging="580"/>
              <w:rPr>
                <w:color w:val="000000"/>
                <w:lang w:val="en-US"/>
              </w:rPr>
            </w:pPr>
            <w:r w:rsidRPr="00D27263">
              <w:rPr>
                <w:color w:val="000000"/>
              </w:rPr>
              <w:t>8.</w:t>
            </w:r>
            <w:r w:rsidRPr="00D27263">
              <w:rPr>
                <w:b/>
                <w:bCs/>
                <w:color w:val="000000"/>
              </w:rPr>
              <w:t xml:space="preserve"> </w:t>
            </w:r>
            <w:r>
              <w:rPr>
                <w:b/>
                <w:bCs/>
                <w:color w:val="000000"/>
              </w:rPr>
              <w:tab/>
              <w:t xml:space="preserve">   </w:t>
            </w:r>
            <w:r w:rsidRPr="00D27263">
              <w:rPr>
                <w:color w:val="000000"/>
                <w:lang w:val="en-US"/>
              </w:rPr>
              <w:t>Wood L, Hendrick PA. A systematic review and meta-analysis of pain neuroscience education for chronic low back pain: Short-and long-term outcomes of pain and disability. </w:t>
            </w:r>
            <w:r w:rsidRPr="00D27263">
              <w:rPr>
                <w:i/>
                <w:iCs/>
                <w:color w:val="000000"/>
                <w:lang w:val="en-US"/>
              </w:rPr>
              <w:t>European Journal of Pain</w:t>
            </w:r>
            <w:r w:rsidRPr="00D27263">
              <w:rPr>
                <w:color w:val="000000"/>
                <w:lang w:val="en-US"/>
              </w:rPr>
              <w:t>. 2019;23(2):234-249. doi:10.1002/ejp.1314</w:t>
            </w:r>
            <w:r>
              <w:rPr>
                <w:color w:val="000000"/>
                <w:lang w:val="en-US"/>
              </w:rPr>
              <w:t xml:space="preserve"> </w:t>
            </w:r>
          </w:p>
        </w:tc>
      </w:tr>
    </w:tbl>
    <w:p w14:paraId="1CA97172" w14:textId="77777777" w:rsidR="007D35DE" w:rsidRPr="00C23863" w:rsidRDefault="007D35DE" w:rsidP="001403EC">
      <w:pPr>
        <w:tabs>
          <w:tab w:val="left" w:pos="480"/>
        </w:tabs>
        <w:jc w:val="both"/>
        <w:rPr>
          <w:sz w:val="18"/>
          <w:szCs w:val="18"/>
          <w:lang w:val="en-US"/>
        </w:rPr>
      </w:pPr>
    </w:p>
    <w:sectPr w:rsidR="007D35DE" w:rsidRPr="00C23863"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D512FC2"/>
    <w:multiLevelType w:val="hybridMultilevel"/>
    <w:tmpl w:val="AA0C3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3A0B0A51"/>
    <w:multiLevelType w:val="hybridMultilevel"/>
    <w:tmpl w:val="D5D6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54464"/>
    <w:multiLevelType w:val="hybridMultilevel"/>
    <w:tmpl w:val="F3D4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51D17C4"/>
    <w:multiLevelType w:val="hybridMultilevel"/>
    <w:tmpl w:val="F74CC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1"/>
  </w:num>
  <w:num w:numId="4">
    <w:abstractNumId w:val="8"/>
  </w:num>
  <w:num w:numId="5">
    <w:abstractNumId w:val="13"/>
  </w:num>
  <w:num w:numId="6">
    <w:abstractNumId w:val="10"/>
  </w:num>
  <w:num w:numId="7">
    <w:abstractNumId w:val="0"/>
  </w:num>
  <w:num w:numId="8">
    <w:abstractNumId w:val="9"/>
  </w:num>
  <w:num w:numId="9">
    <w:abstractNumId w:val="15"/>
  </w:num>
  <w:num w:numId="10">
    <w:abstractNumId w:val="12"/>
  </w:num>
  <w:num w:numId="11">
    <w:abstractNumId w:val="5"/>
  </w:num>
  <w:num w:numId="12">
    <w:abstractNumId w:val="11"/>
  </w:num>
  <w:num w:numId="13">
    <w:abstractNumId w:val="7"/>
  </w:num>
  <w:num w:numId="14">
    <w:abstractNumId w:val="6"/>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03E"/>
    <w:rsid w:val="00002816"/>
    <w:rsid w:val="00004349"/>
    <w:rsid w:val="00005888"/>
    <w:rsid w:val="00006871"/>
    <w:rsid w:val="00006EC6"/>
    <w:rsid w:val="0000738B"/>
    <w:rsid w:val="0002168B"/>
    <w:rsid w:val="000221B2"/>
    <w:rsid w:val="000244D1"/>
    <w:rsid w:val="0003216E"/>
    <w:rsid w:val="00032B40"/>
    <w:rsid w:val="00036A3A"/>
    <w:rsid w:val="00045EEF"/>
    <w:rsid w:val="00050375"/>
    <w:rsid w:val="00065734"/>
    <w:rsid w:val="000721FC"/>
    <w:rsid w:val="00076922"/>
    <w:rsid w:val="00077862"/>
    <w:rsid w:val="00082CFF"/>
    <w:rsid w:val="000834FC"/>
    <w:rsid w:val="000839E0"/>
    <w:rsid w:val="000844D1"/>
    <w:rsid w:val="00094B7E"/>
    <w:rsid w:val="000A3142"/>
    <w:rsid w:val="000A31E1"/>
    <w:rsid w:val="000A7312"/>
    <w:rsid w:val="000A78D8"/>
    <w:rsid w:val="000B1FB4"/>
    <w:rsid w:val="000B1FF5"/>
    <w:rsid w:val="000B3B7D"/>
    <w:rsid w:val="000B4919"/>
    <w:rsid w:val="000B7DB3"/>
    <w:rsid w:val="000C1519"/>
    <w:rsid w:val="000C600B"/>
    <w:rsid w:val="000D40CD"/>
    <w:rsid w:val="000E172D"/>
    <w:rsid w:val="000E27FF"/>
    <w:rsid w:val="000F3690"/>
    <w:rsid w:val="00101A23"/>
    <w:rsid w:val="00103F7B"/>
    <w:rsid w:val="001042F8"/>
    <w:rsid w:val="00106645"/>
    <w:rsid w:val="0011024A"/>
    <w:rsid w:val="0011199B"/>
    <w:rsid w:val="00114F16"/>
    <w:rsid w:val="00115453"/>
    <w:rsid w:val="00116875"/>
    <w:rsid w:val="00130520"/>
    <w:rsid w:val="001310C7"/>
    <w:rsid w:val="00133195"/>
    <w:rsid w:val="001403EC"/>
    <w:rsid w:val="00142348"/>
    <w:rsid w:val="00145AB2"/>
    <w:rsid w:val="00150641"/>
    <w:rsid w:val="00154ED5"/>
    <w:rsid w:val="00162F2E"/>
    <w:rsid w:val="001635E8"/>
    <w:rsid w:val="00164811"/>
    <w:rsid w:val="001655BA"/>
    <w:rsid w:val="00165FB6"/>
    <w:rsid w:val="00167202"/>
    <w:rsid w:val="001729E2"/>
    <w:rsid w:val="00184206"/>
    <w:rsid w:val="001857DE"/>
    <w:rsid w:val="001927A4"/>
    <w:rsid w:val="00192877"/>
    <w:rsid w:val="00192961"/>
    <w:rsid w:val="00195041"/>
    <w:rsid w:val="00196026"/>
    <w:rsid w:val="001960D2"/>
    <w:rsid w:val="001A1E39"/>
    <w:rsid w:val="001A3A66"/>
    <w:rsid w:val="001A4065"/>
    <w:rsid w:val="001A40A0"/>
    <w:rsid w:val="001A435E"/>
    <w:rsid w:val="001A7ADD"/>
    <w:rsid w:val="001B6B9B"/>
    <w:rsid w:val="001C1F71"/>
    <w:rsid w:val="001C54B0"/>
    <w:rsid w:val="001C5A94"/>
    <w:rsid w:val="001C6341"/>
    <w:rsid w:val="001C6AEF"/>
    <w:rsid w:val="001D2A0B"/>
    <w:rsid w:val="001D3ED3"/>
    <w:rsid w:val="001D4F60"/>
    <w:rsid w:val="001D5D4E"/>
    <w:rsid w:val="001E1518"/>
    <w:rsid w:val="001E2169"/>
    <w:rsid w:val="001E5719"/>
    <w:rsid w:val="001F3CA7"/>
    <w:rsid w:val="001F41BC"/>
    <w:rsid w:val="001F703E"/>
    <w:rsid w:val="001F7D9A"/>
    <w:rsid w:val="00201832"/>
    <w:rsid w:val="00201F3F"/>
    <w:rsid w:val="002032B9"/>
    <w:rsid w:val="00205544"/>
    <w:rsid w:val="00206663"/>
    <w:rsid w:val="00215B15"/>
    <w:rsid w:val="00222B72"/>
    <w:rsid w:val="0023388F"/>
    <w:rsid w:val="00234BAA"/>
    <w:rsid w:val="00236E30"/>
    <w:rsid w:val="00237E57"/>
    <w:rsid w:val="00240563"/>
    <w:rsid w:val="002509DF"/>
    <w:rsid w:val="00252633"/>
    <w:rsid w:val="002558DB"/>
    <w:rsid w:val="00257007"/>
    <w:rsid w:val="002612AE"/>
    <w:rsid w:val="00265366"/>
    <w:rsid w:val="00271CEF"/>
    <w:rsid w:val="00273CC5"/>
    <w:rsid w:val="00276D67"/>
    <w:rsid w:val="0028056F"/>
    <w:rsid w:val="00281077"/>
    <w:rsid w:val="0028187A"/>
    <w:rsid w:val="00282449"/>
    <w:rsid w:val="00282A68"/>
    <w:rsid w:val="00293B41"/>
    <w:rsid w:val="002975D0"/>
    <w:rsid w:val="002977D9"/>
    <w:rsid w:val="002A202E"/>
    <w:rsid w:val="002A42AC"/>
    <w:rsid w:val="002A687A"/>
    <w:rsid w:val="002A69E0"/>
    <w:rsid w:val="002D0691"/>
    <w:rsid w:val="002D2D3F"/>
    <w:rsid w:val="002D5C47"/>
    <w:rsid w:val="002D6267"/>
    <w:rsid w:val="002E151C"/>
    <w:rsid w:val="002E3103"/>
    <w:rsid w:val="002E602B"/>
    <w:rsid w:val="002E634D"/>
    <w:rsid w:val="002E63D4"/>
    <w:rsid w:val="002E7836"/>
    <w:rsid w:val="002F16E1"/>
    <w:rsid w:val="00300998"/>
    <w:rsid w:val="003023C2"/>
    <w:rsid w:val="00302EA7"/>
    <w:rsid w:val="00305E39"/>
    <w:rsid w:val="00311CD1"/>
    <w:rsid w:val="003132F6"/>
    <w:rsid w:val="003152FA"/>
    <w:rsid w:val="00316189"/>
    <w:rsid w:val="003203C3"/>
    <w:rsid w:val="00326281"/>
    <w:rsid w:val="0033330C"/>
    <w:rsid w:val="003432D1"/>
    <w:rsid w:val="003475DE"/>
    <w:rsid w:val="00350995"/>
    <w:rsid w:val="00355000"/>
    <w:rsid w:val="00355D55"/>
    <w:rsid w:val="00356799"/>
    <w:rsid w:val="00363FEB"/>
    <w:rsid w:val="00365423"/>
    <w:rsid w:val="00371C43"/>
    <w:rsid w:val="00372737"/>
    <w:rsid w:val="00375C19"/>
    <w:rsid w:val="00380B69"/>
    <w:rsid w:val="00383E3A"/>
    <w:rsid w:val="0038646C"/>
    <w:rsid w:val="00386665"/>
    <w:rsid w:val="0038771C"/>
    <w:rsid w:val="00390DBA"/>
    <w:rsid w:val="00391499"/>
    <w:rsid w:val="00394CC0"/>
    <w:rsid w:val="003A0BC3"/>
    <w:rsid w:val="003A6741"/>
    <w:rsid w:val="003B2324"/>
    <w:rsid w:val="003B5C0D"/>
    <w:rsid w:val="003B7595"/>
    <w:rsid w:val="003C203E"/>
    <w:rsid w:val="003C37A6"/>
    <w:rsid w:val="003C3F01"/>
    <w:rsid w:val="003C4065"/>
    <w:rsid w:val="003C54B6"/>
    <w:rsid w:val="003D48E0"/>
    <w:rsid w:val="003E791C"/>
    <w:rsid w:val="003F2E81"/>
    <w:rsid w:val="003F32ED"/>
    <w:rsid w:val="003F4C42"/>
    <w:rsid w:val="00400AAD"/>
    <w:rsid w:val="00400D14"/>
    <w:rsid w:val="004020B7"/>
    <w:rsid w:val="00403048"/>
    <w:rsid w:val="00403DDA"/>
    <w:rsid w:val="00407BFD"/>
    <w:rsid w:val="00414860"/>
    <w:rsid w:val="00415B87"/>
    <w:rsid w:val="00415C07"/>
    <w:rsid w:val="004259B3"/>
    <w:rsid w:val="0042604D"/>
    <w:rsid w:val="00426597"/>
    <w:rsid w:val="00430880"/>
    <w:rsid w:val="00431D6E"/>
    <w:rsid w:val="004341FB"/>
    <w:rsid w:val="00435CA6"/>
    <w:rsid w:val="00437839"/>
    <w:rsid w:val="004467A5"/>
    <w:rsid w:val="004503EC"/>
    <w:rsid w:val="0045534B"/>
    <w:rsid w:val="004618B7"/>
    <w:rsid w:val="004631B4"/>
    <w:rsid w:val="00466453"/>
    <w:rsid w:val="00467D14"/>
    <w:rsid w:val="0047092A"/>
    <w:rsid w:val="00472923"/>
    <w:rsid w:val="00483B4E"/>
    <w:rsid w:val="00486767"/>
    <w:rsid w:val="00486D55"/>
    <w:rsid w:val="00490D44"/>
    <w:rsid w:val="004927E7"/>
    <w:rsid w:val="00492B03"/>
    <w:rsid w:val="00496D0F"/>
    <w:rsid w:val="00497DB9"/>
    <w:rsid w:val="004A0EE3"/>
    <w:rsid w:val="004A1418"/>
    <w:rsid w:val="004A4C4D"/>
    <w:rsid w:val="004A4CB8"/>
    <w:rsid w:val="004A5534"/>
    <w:rsid w:val="004A7178"/>
    <w:rsid w:val="004B2ACD"/>
    <w:rsid w:val="004B3CB2"/>
    <w:rsid w:val="004B7D98"/>
    <w:rsid w:val="004C0648"/>
    <w:rsid w:val="004C21DE"/>
    <w:rsid w:val="004C7BFB"/>
    <w:rsid w:val="004D2674"/>
    <w:rsid w:val="004E5E95"/>
    <w:rsid w:val="004F05E4"/>
    <w:rsid w:val="004F350E"/>
    <w:rsid w:val="004F59CB"/>
    <w:rsid w:val="004F629A"/>
    <w:rsid w:val="004F7128"/>
    <w:rsid w:val="005006DE"/>
    <w:rsid w:val="00503D25"/>
    <w:rsid w:val="005058E0"/>
    <w:rsid w:val="00507EC3"/>
    <w:rsid w:val="005104C7"/>
    <w:rsid w:val="00516B29"/>
    <w:rsid w:val="005206A8"/>
    <w:rsid w:val="005263ED"/>
    <w:rsid w:val="0052682C"/>
    <w:rsid w:val="00530A5C"/>
    <w:rsid w:val="00530E5E"/>
    <w:rsid w:val="00531D85"/>
    <w:rsid w:val="00532D7D"/>
    <w:rsid w:val="0053617F"/>
    <w:rsid w:val="00542A9A"/>
    <w:rsid w:val="00543D14"/>
    <w:rsid w:val="005442E7"/>
    <w:rsid w:val="005458B8"/>
    <w:rsid w:val="005528C9"/>
    <w:rsid w:val="00552BD9"/>
    <w:rsid w:val="00554FFC"/>
    <w:rsid w:val="00560C22"/>
    <w:rsid w:val="00572A4D"/>
    <w:rsid w:val="00573CEB"/>
    <w:rsid w:val="00574922"/>
    <w:rsid w:val="00580416"/>
    <w:rsid w:val="005850DE"/>
    <w:rsid w:val="00586070"/>
    <w:rsid w:val="00592E30"/>
    <w:rsid w:val="00593157"/>
    <w:rsid w:val="00594203"/>
    <w:rsid w:val="00594DDB"/>
    <w:rsid w:val="00597245"/>
    <w:rsid w:val="005A1289"/>
    <w:rsid w:val="005A148C"/>
    <w:rsid w:val="005A1AF4"/>
    <w:rsid w:val="005A3AD4"/>
    <w:rsid w:val="005A40D7"/>
    <w:rsid w:val="005A6C2B"/>
    <w:rsid w:val="005B132B"/>
    <w:rsid w:val="005B6A74"/>
    <w:rsid w:val="005B7AE2"/>
    <w:rsid w:val="005C1766"/>
    <w:rsid w:val="005C54CC"/>
    <w:rsid w:val="005C6870"/>
    <w:rsid w:val="005D17D6"/>
    <w:rsid w:val="005F30E8"/>
    <w:rsid w:val="005F5ED0"/>
    <w:rsid w:val="005F736D"/>
    <w:rsid w:val="005F7821"/>
    <w:rsid w:val="00600583"/>
    <w:rsid w:val="00600DC9"/>
    <w:rsid w:val="006021A6"/>
    <w:rsid w:val="00605138"/>
    <w:rsid w:val="00607017"/>
    <w:rsid w:val="0060740C"/>
    <w:rsid w:val="00622327"/>
    <w:rsid w:val="00622D7A"/>
    <w:rsid w:val="00624D85"/>
    <w:rsid w:val="00627BCF"/>
    <w:rsid w:val="00630A84"/>
    <w:rsid w:val="00631913"/>
    <w:rsid w:val="00632817"/>
    <w:rsid w:val="006331CD"/>
    <w:rsid w:val="0063367A"/>
    <w:rsid w:val="0063498E"/>
    <w:rsid w:val="00637684"/>
    <w:rsid w:val="00637DAD"/>
    <w:rsid w:val="0064237B"/>
    <w:rsid w:val="00650D2D"/>
    <w:rsid w:val="00656740"/>
    <w:rsid w:val="006600D8"/>
    <w:rsid w:val="00673FEB"/>
    <w:rsid w:val="00676BC1"/>
    <w:rsid w:val="00681012"/>
    <w:rsid w:val="006821B3"/>
    <w:rsid w:val="0069090B"/>
    <w:rsid w:val="00692FFF"/>
    <w:rsid w:val="006A0ACF"/>
    <w:rsid w:val="006B102C"/>
    <w:rsid w:val="006B13E7"/>
    <w:rsid w:val="006B171B"/>
    <w:rsid w:val="006B3C62"/>
    <w:rsid w:val="006B7F22"/>
    <w:rsid w:val="006C1013"/>
    <w:rsid w:val="006C2AD2"/>
    <w:rsid w:val="006C3192"/>
    <w:rsid w:val="006C580C"/>
    <w:rsid w:val="006D027B"/>
    <w:rsid w:val="006D2329"/>
    <w:rsid w:val="006D38A1"/>
    <w:rsid w:val="006E21DE"/>
    <w:rsid w:val="006E2CB3"/>
    <w:rsid w:val="006E4370"/>
    <w:rsid w:val="006E4EC8"/>
    <w:rsid w:val="006E5A23"/>
    <w:rsid w:val="006E68E0"/>
    <w:rsid w:val="006F20AD"/>
    <w:rsid w:val="006F369E"/>
    <w:rsid w:val="006F50AD"/>
    <w:rsid w:val="00701934"/>
    <w:rsid w:val="00706E69"/>
    <w:rsid w:val="0071035C"/>
    <w:rsid w:val="00716094"/>
    <w:rsid w:val="00727256"/>
    <w:rsid w:val="007347B2"/>
    <w:rsid w:val="00734AB5"/>
    <w:rsid w:val="00736F53"/>
    <w:rsid w:val="007401CE"/>
    <w:rsid w:val="007402F6"/>
    <w:rsid w:val="007444A6"/>
    <w:rsid w:val="0074589E"/>
    <w:rsid w:val="00752AAC"/>
    <w:rsid w:val="007534F1"/>
    <w:rsid w:val="00753BE8"/>
    <w:rsid w:val="00754CF5"/>
    <w:rsid w:val="007551A5"/>
    <w:rsid w:val="00765CAB"/>
    <w:rsid w:val="007708D3"/>
    <w:rsid w:val="0077316A"/>
    <w:rsid w:val="00777E3F"/>
    <w:rsid w:val="007805AD"/>
    <w:rsid w:val="00780624"/>
    <w:rsid w:val="00783D2E"/>
    <w:rsid w:val="00785FC6"/>
    <w:rsid w:val="00787012"/>
    <w:rsid w:val="00787853"/>
    <w:rsid w:val="00791304"/>
    <w:rsid w:val="00791B96"/>
    <w:rsid w:val="007942EB"/>
    <w:rsid w:val="007969E7"/>
    <w:rsid w:val="00797818"/>
    <w:rsid w:val="007A5A35"/>
    <w:rsid w:val="007A66F5"/>
    <w:rsid w:val="007A7454"/>
    <w:rsid w:val="007B2FD8"/>
    <w:rsid w:val="007B38B5"/>
    <w:rsid w:val="007B42DA"/>
    <w:rsid w:val="007B78BC"/>
    <w:rsid w:val="007B7A5F"/>
    <w:rsid w:val="007C5669"/>
    <w:rsid w:val="007D23DF"/>
    <w:rsid w:val="007D35DE"/>
    <w:rsid w:val="007E5125"/>
    <w:rsid w:val="007F26B9"/>
    <w:rsid w:val="007F7E0B"/>
    <w:rsid w:val="00803C0C"/>
    <w:rsid w:val="00812C9E"/>
    <w:rsid w:val="008178F8"/>
    <w:rsid w:val="008240D6"/>
    <w:rsid w:val="008262FD"/>
    <w:rsid w:val="0084036E"/>
    <w:rsid w:val="00843002"/>
    <w:rsid w:val="00847429"/>
    <w:rsid w:val="008513DC"/>
    <w:rsid w:val="008523E0"/>
    <w:rsid w:val="008552AB"/>
    <w:rsid w:val="0086536D"/>
    <w:rsid w:val="008724B6"/>
    <w:rsid w:val="00872D60"/>
    <w:rsid w:val="008753FB"/>
    <w:rsid w:val="00883B17"/>
    <w:rsid w:val="0088540C"/>
    <w:rsid w:val="00890872"/>
    <w:rsid w:val="00892617"/>
    <w:rsid w:val="008935D0"/>
    <w:rsid w:val="008975FD"/>
    <w:rsid w:val="00897A44"/>
    <w:rsid w:val="008A02AF"/>
    <w:rsid w:val="008A2ACB"/>
    <w:rsid w:val="008A33E6"/>
    <w:rsid w:val="008A33EB"/>
    <w:rsid w:val="008A4BFD"/>
    <w:rsid w:val="008A7220"/>
    <w:rsid w:val="008B031E"/>
    <w:rsid w:val="008B3F5B"/>
    <w:rsid w:val="008B43B0"/>
    <w:rsid w:val="008B5180"/>
    <w:rsid w:val="008B626C"/>
    <w:rsid w:val="008C0898"/>
    <w:rsid w:val="008C6D9D"/>
    <w:rsid w:val="008D1E76"/>
    <w:rsid w:val="008D2E06"/>
    <w:rsid w:val="008D3441"/>
    <w:rsid w:val="008D358A"/>
    <w:rsid w:val="008D3703"/>
    <w:rsid w:val="008D4327"/>
    <w:rsid w:val="008D47D4"/>
    <w:rsid w:val="008D5FA9"/>
    <w:rsid w:val="008D71CE"/>
    <w:rsid w:val="008D7E09"/>
    <w:rsid w:val="008E1901"/>
    <w:rsid w:val="008E4052"/>
    <w:rsid w:val="008E42ED"/>
    <w:rsid w:val="008E5E81"/>
    <w:rsid w:val="008E5E9B"/>
    <w:rsid w:val="008E7E99"/>
    <w:rsid w:val="008F5389"/>
    <w:rsid w:val="00902046"/>
    <w:rsid w:val="00905A35"/>
    <w:rsid w:val="00907825"/>
    <w:rsid w:val="00910288"/>
    <w:rsid w:val="0091619C"/>
    <w:rsid w:val="0092495D"/>
    <w:rsid w:val="00925956"/>
    <w:rsid w:val="00932121"/>
    <w:rsid w:val="00934681"/>
    <w:rsid w:val="00935F46"/>
    <w:rsid w:val="009364E2"/>
    <w:rsid w:val="00936A8A"/>
    <w:rsid w:val="00942FBD"/>
    <w:rsid w:val="009471F8"/>
    <w:rsid w:val="00947DBB"/>
    <w:rsid w:val="0095448D"/>
    <w:rsid w:val="00954C3A"/>
    <w:rsid w:val="00965236"/>
    <w:rsid w:val="009677A3"/>
    <w:rsid w:val="00973B70"/>
    <w:rsid w:val="00973E03"/>
    <w:rsid w:val="00984B51"/>
    <w:rsid w:val="00984B55"/>
    <w:rsid w:val="00986141"/>
    <w:rsid w:val="00986AD9"/>
    <w:rsid w:val="00991668"/>
    <w:rsid w:val="00992DD1"/>
    <w:rsid w:val="00997BE9"/>
    <w:rsid w:val="009A001F"/>
    <w:rsid w:val="009A0156"/>
    <w:rsid w:val="009A25A5"/>
    <w:rsid w:val="009A38BC"/>
    <w:rsid w:val="009A4B9F"/>
    <w:rsid w:val="009A5DE0"/>
    <w:rsid w:val="009A6B36"/>
    <w:rsid w:val="009A767D"/>
    <w:rsid w:val="009A7AB8"/>
    <w:rsid w:val="009B1CCC"/>
    <w:rsid w:val="009B571A"/>
    <w:rsid w:val="009C4E3F"/>
    <w:rsid w:val="009D19FF"/>
    <w:rsid w:val="009E2C3A"/>
    <w:rsid w:val="009E3323"/>
    <w:rsid w:val="009E380F"/>
    <w:rsid w:val="009E5BD9"/>
    <w:rsid w:val="009F2CE6"/>
    <w:rsid w:val="009F350E"/>
    <w:rsid w:val="009F607F"/>
    <w:rsid w:val="00A02E80"/>
    <w:rsid w:val="00A067EC"/>
    <w:rsid w:val="00A07396"/>
    <w:rsid w:val="00A1120A"/>
    <w:rsid w:val="00A16ED8"/>
    <w:rsid w:val="00A17FA8"/>
    <w:rsid w:val="00A20299"/>
    <w:rsid w:val="00A21339"/>
    <w:rsid w:val="00A22537"/>
    <w:rsid w:val="00A30701"/>
    <w:rsid w:val="00A342F0"/>
    <w:rsid w:val="00A35286"/>
    <w:rsid w:val="00A3558C"/>
    <w:rsid w:val="00A3784B"/>
    <w:rsid w:val="00A4097C"/>
    <w:rsid w:val="00A40BD4"/>
    <w:rsid w:val="00A41623"/>
    <w:rsid w:val="00A429BF"/>
    <w:rsid w:val="00A44302"/>
    <w:rsid w:val="00A501BD"/>
    <w:rsid w:val="00A52F86"/>
    <w:rsid w:val="00A623FC"/>
    <w:rsid w:val="00A6517D"/>
    <w:rsid w:val="00A661B5"/>
    <w:rsid w:val="00A66A42"/>
    <w:rsid w:val="00A67342"/>
    <w:rsid w:val="00A72854"/>
    <w:rsid w:val="00A73BD3"/>
    <w:rsid w:val="00A74B91"/>
    <w:rsid w:val="00A75427"/>
    <w:rsid w:val="00A8019C"/>
    <w:rsid w:val="00A81CAE"/>
    <w:rsid w:val="00A85791"/>
    <w:rsid w:val="00A85A4F"/>
    <w:rsid w:val="00AA7EE4"/>
    <w:rsid w:val="00AB6399"/>
    <w:rsid w:val="00AB73A2"/>
    <w:rsid w:val="00AC5BA8"/>
    <w:rsid w:val="00AC60B4"/>
    <w:rsid w:val="00AD0562"/>
    <w:rsid w:val="00AD19E0"/>
    <w:rsid w:val="00AD737D"/>
    <w:rsid w:val="00AE07AB"/>
    <w:rsid w:val="00AE509D"/>
    <w:rsid w:val="00AF1174"/>
    <w:rsid w:val="00AF3534"/>
    <w:rsid w:val="00B02090"/>
    <w:rsid w:val="00B0217C"/>
    <w:rsid w:val="00B10F4A"/>
    <w:rsid w:val="00B11111"/>
    <w:rsid w:val="00B14987"/>
    <w:rsid w:val="00B14A86"/>
    <w:rsid w:val="00B17AE0"/>
    <w:rsid w:val="00B23394"/>
    <w:rsid w:val="00B31D37"/>
    <w:rsid w:val="00B36E5B"/>
    <w:rsid w:val="00B37BDE"/>
    <w:rsid w:val="00B40974"/>
    <w:rsid w:val="00B45A8E"/>
    <w:rsid w:val="00B463C1"/>
    <w:rsid w:val="00B51318"/>
    <w:rsid w:val="00B526F2"/>
    <w:rsid w:val="00B53425"/>
    <w:rsid w:val="00B567C8"/>
    <w:rsid w:val="00B60682"/>
    <w:rsid w:val="00B631A9"/>
    <w:rsid w:val="00B64A00"/>
    <w:rsid w:val="00B654AB"/>
    <w:rsid w:val="00B70AC5"/>
    <w:rsid w:val="00B75AAB"/>
    <w:rsid w:val="00B92E8F"/>
    <w:rsid w:val="00BA0623"/>
    <w:rsid w:val="00BA37B7"/>
    <w:rsid w:val="00BA392A"/>
    <w:rsid w:val="00BA3C17"/>
    <w:rsid w:val="00BB226C"/>
    <w:rsid w:val="00BC4591"/>
    <w:rsid w:val="00BC696B"/>
    <w:rsid w:val="00BD2C86"/>
    <w:rsid w:val="00BD6E44"/>
    <w:rsid w:val="00BE5198"/>
    <w:rsid w:val="00BF1CC7"/>
    <w:rsid w:val="00BF55F1"/>
    <w:rsid w:val="00BF7C80"/>
    <w:rsid w:val="00C009FD"/>
    <w:rsid w:val="00C05512"/>
    <w:rsid w:val="00C058D1"/>
    <w:rsid w:val="00C05D7D"/>
    <w:rsid w:val="00C10D33"/>
    <w:rsid w:val="00C13717"/>
    <w:rsid w:val="00C137FD"/>
    <w:rsid w:val="00C152D6"/>
    <w:rsid w:val="00C23863"/>
    <w:rsid w:val="00C342AF"/>
    <w:rsid w:val="00C360E1"/>
    <w:rsid w:val="00C3742B"/>
    <w:rsid w:val="00C42D9D"/>
    <w:rsid w:val="00C549B7"/>
    <w:rsid w:val="00C56E84"/>
    <w:rsid w:val="00C64E38"/>
    <w:rsid w:val="00C70165"/>
    <w:rsid w:val="00C76224"/>
    <w:rsid w:val="00C819B9"/>
    <w:rsid w:val="00C827D8"/>
    <w:rsid w:val="00C87DA1"/>
    <w:rsid w:val="00C93350"/>
    <w:rsid w:val="00CA5482"/>
    <w:rsid w:val="00CA67D5"/>
    <w:rsid w:val="00CA754D"/>
    <w:rsid w:val="00CA78BC"/>
    <w:rsid w:val="00CC3ABD"/>
    <w:rsid w:val="00CC7420"/>
    <w:rsid w:val="00CD09A5"/>
    <w:rsid w:val="00CD1E4F"/>
    <w:rsid w:val="00CD6EF0"/>
    <w:rsid w:val="00CD793A"/>
    <w:rsid w:val="00CE1F4F"/>
    <w:rsid w:val="00CE771C"/>
    <w:rsid w:val="00CF0D51"/>
    <w:rsid w:val="00CF7618"/>
    <w:rsid w:val="00D003ED"/>
    <w:rsid w:val="00D018FF"/>
    <w:rsid w:val="00D02DE8"/>
    <w:rsid w:val="00D06912"/>
    <w:rsid w:val="00D15597"/>
    <w:rsid w:val="00D16F45"/>
    <w:rsid w:val="00D21BA6"/>
    <w:rsid w:val="00D30B77"/>
    <w:rsid w:val="00D3156F"/>
    <w:rsid w:val="00D352AA"/>
    <w:rsid w:val="00D35EC9"/>
    <w:rsid w:val="00D36F6D"/>
    <w:rsid w:val="00D37EE2"/>
    <w:rsid w:val="00D42F92"/>
    <w:rsid w:val="00D472CD"/>
    <w:rsid w:val="00D5036F"/>
    <w:rsid w:val="00D50DDA"/>
    <w:rsid w:val="00D5225F"/>
    <w:rsid w:val="00D563AE"/>
    <w:rsid w:val="00D60980"/>
    <w:rsid w:val="00D66665"/>
    <w:rsid w:val="00D670AD"/>
    <w:rsid w:val="00D67174"/>
    <w:rsid w:val="00D67A5F"/>
    <w:rsid w:val="00D70084"/>
    <w:rsid w:val="00D701A6"/>
    <w:rsid w:val="00D73903"/>
    <w:rsid w:val="00D76272"/>
    <w:rsid w:val="00D772E8"/>
    <w:rsid w:val="00D80921"/>
    <w:rsid w:val="00D91032"/>
    <w:rsid w:val="00D9378C"/>
    <w:rsid w:val="00D94142"/>
    <w:rsid w:val="00DA4D09"/>
    <w:rsid w:val="00DB05B3"/>
    <w:rsid w:val="00DB2787"/>
    <w:rsid w:val="00DB2EA5"/>
    <w:rsid w:val="00DB3BD3"/>
    <w:rsid w:val="00DB5D35"/>
    <w:rsid w:val="00DB6D18"/>
    <w:rsid w:val="00DC45EB"/>
    <w:rsid w:val="00DD4F58"/>
    <w:rsid w:val="00DE0938"/>
    <w:rsid w:val="00DE3201"/>
    <w:rsid w:val="00DE6D44"/>
    <w:rsid w:val="00DF1CAF"/>
    <w:rsid w:val="00DF7D7C"/>
    <w:rsid w:val="00E01C8D"/>
    <w:rsid w:val="00E03195"/>
    <w:rsid w:val="00E12F45"/>
    <w:rsid w:val="00E15E18"/>
    <w:rsid w:val="00E17AC2"/>
    <w:rsid w:val="00E20DD9"/>
    <w:rsid w:val="00E238A2"/>
    <w:rsid w:val="00E24D14"/>
    <w:rsid w:val="00E367F5"/>
    <w:rsid w:val="00E36C3D"/>
    <w:rsid w:val="00E41AB3"/>
    <w:rsid w:val="00E449B7"/>
    <w:rsid w:val="00E45289"/>
    <w:rsid w:val="00E532B7"/>
    <w:rsid w:val="00E57258"/>
    <w:rsid w:val="00E609EF"/>
    <w:rsid w:val="00E67239"/>
    <w:rsid w:val="00E72FFA"/>
    <w:rsid w:val="00E7624E"/>
    <w:rsid w:val="00E8234C"/>
    <w:rsid w:val="00E824AA"/>
    <w:rsid w:val="00E85E39"/>
    <w:rsid w:val="00E903DC"/>
    <w:rsid w:val="00E90A01"/>
    <w:rsid w:val="00E9246F"/>
    <w:rsid w:val="00E933AD"/>
    <w:rsid w:val="00E9769F"/>
    <w:rsid w:val="00EA23D5"/>
    <w:rsid w:val="00EA308D"/>
    <w:rsid w:val="00EB0E3C"/>
    <w:rsid w:val="00EB330C"/>
    <w:rsid w:val="00EB43F2"/>
    <w:rsid w:val="00EB4B31"/>
    <w:rsid w:val="00EC0B57"/>
    <w:rsid w:val="00EC3DED"/>
    <w:rsid w:val="00EC4707"/>
    <w:rsid w:val="00EC553F"/>
    <w:rsid w:val="00EC639D"/>
    <w:rsid w:val="00ED55E3"/>
    <w:rsid w:val="00ED6D29"/>
    <w:rsid w:val="00ED7D41"/>
    <w:rsid w:val="00EE4B3D"/>
    <w:rsid w:val="00EF05F4"/>
    <w:rsid w:val="00EF5DAE"/>
    <w:rsid w:val="00EF74FB"/>
    <w:rsid w:val="00F035FA"/>
    <w:rsid w:val="00F04245"/>
    <w:rsid w:val="00F1094A"/>
    <w:rsid w:val="00F10D23"/>
    <w:rsid w:val="00F11CA4"/>
    <w:rsid w:val="00F1497C"/>
    <w:rsid w:val="00F14E9A"/>
    <w:rsid w:val="00F160E0"/>
    <w:rsid w:val="00F22B0E"/>
    <w:rsid w:val="00F24BFA"/>
    <w:rsid w:val="00F342FA"/>
    <w:rsid w:val="00F36422"/>
    <w:rsid w:val="00F5209A"/>
    <w:rsid w:val="00F56725"/>
    <w:rsid w:val="00F57BCC"/>
    <w:rsid w:val="00F61716"/>
    <w:rsid w:val="00F62C19"/>
    <w:rsid w:val="00F668DC"/>
    <w:rsid w:val="00F764C1"/>
    <w:rsid w:val="00F7750C"/>
    <w:rsid w:val="00F81BE7"/>
    <w:rsid w:val="00F83EE9"/>
    <w:rsid w:val="00F8547C"/>
    <w:rsid w:val="00F87769"/>
    <w:rsid w:val="00F87A59"/>
    <w:rsid w:val="00F971DC"/>
    <w:rsid w:val="00FA146D"/>
    <w:rsid w:val="00FA31BE"/>
    <w:rsid w:val="00FA433B"/>
    <w:rsid w:val="00FB07BF"/>
    <w:rsid w:val="00FB485B"/>
    <w:rsid w:val="00FC1EC9"/>
    <w:rsid w:val="00FC35EE"/>
    <w:rsid w:val="00FC5AF2"/>
    <w:rsid w:val="00FC7364"/>
    <w:rsid w:val="00FC7D4D"/>
    <w:rsid w:val="00FD2898"/>
    <w:rsid w:val="00FD2BB9"/>
    <w:rsid w:val="00FD3548"/>
    <w:rsid w:val="00FD6250"/>
    <w:rsid w:val="00FD6880"/>
    <w:rsid w:val="00FE26C6"/>
    <w:rsid w:val="00FE55C3"/>
    <w:rsid w:val="00FE7A24"/>
    <w:rsid w:val="00FE7D95"/>
    <w:rsid w:val="00FF550E"/>
    <w:rsid w:val="00FF6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E20995"/>
  <w14:defaultImageDpi w14:val="300"/>
  <w15:docId w15:val="{CB09D861-2DC8-4D67-BD6D-68308728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character" w:styleId="Hyperlink">
    <w:name w:val="Hyperlink"/>
    <w:basedOn w:val="DefaultParagraphFont"/>
    <w:unhideWhenUsed/>
    <w:rsid w:val="00426597"/>
    <w:rPr>
      <w:color w:val="0000FF" w:themeColor="hyperlink"/>
      <w:u w:val="single"/>
    </w:rPr>
  </w:style>
  <w:style w:type="character" w:styleId="UnresolvedMention">
    <w:name w:val="Unresolved Mention"/>
    <w:basedOn w:val="DefaultParagraphFont"/>
    <w:uiPriority w:val="99"/>
    <w:semiHidden/>
    <w:unhideWhenUsed/>
    <w:rsid w:val="00426597"/>
    <w:rPr>
      <w:color w:val="605E5C"/>
      <w:shd w:val="clear" w:color="auto" w:fill="E1DFDD"/>
    </w:rPr>
  </w:style>
  <w:style w:type="character" w:styleId="FollowedHyperlink">
    <w:name w:val="FollowedHyperlink"/>
    <w:basedOn w:val="DefaultParagraphFont"/>
    <w:semiHidden/>
    <w:unhideWhenUsed/>
    <w:rsid w:val="00DE3201"/>
    <w:rPr>
      <w:color w:val="800080" w:themeColor="followedHyperlink"/>
      <w:u w:val="single"/>
    </w:rPr>
  </w:style>
  <w:style w:type="paragraph" w:styleId="ListParagraph">
    <w:name w:val="List Paragraph"/>
    <w:basedOn w:val="Normal"/>
    <w:uiPriority w:val="72"/>
    <w:qFormat/>
    <w:rsid w:val="003C37A6"/>
    <w:pPr>
      <w:ind w:left="720"/>
      <w:contextualSpacing/>
    </w:pPr>
  </w:style>
  <w:style w:type="character" w:customStyle="1" w:styleId="csl-left-margin">
    <w:name w:val="csl-left-margin"/>
    <w:basedOn w:val="DefaultParagraphFont"/>
    <w:rsid w:val="004503EC"/>
  </w:style>
  <w:style w:type="character" w:customStyle="1" w:styleId="csl-right-inline">
    <w:name w:val="csl-right-inline"/>
    <w:basedOn w:val="DefaultParagraphFont"/>
    <w:rsid w:val="004503EC"/>
  </w:style>
  <w:style w:type="paragraph" w:styleId="NormalWeb">
    <w:name w:val="Normal (Web)"/>
    <w:basedOn w:val="Normal"/>
    <w:uiPriority w:val="99"/>
    <w:semiHidden/>
    <w:unhideWhenUsed/>
    <w:rsid w:val="004503EC"/>
    <w:pPr>
      <w:spacing w:before="100" w:beforeAutospacing="1" w:after="100" w:afterAutospacing="1"/>
    </w:pPr>
    <w:rPr>
      <w:rFonts w:ascii="Times New Roman" w:hAnsi="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464238">
      <w:bodyDiv w:val="1"/>
      <w:marLeft w:val="0"/>
      <w:marRight w:val="0"/>
      <w:marTop w:val="0"/>
      <w:marBottom w:val="0"/>
      <w:divBdr>
        <w:top w:val="none" w:sz="0" w:space="0" w:color="auto"/>
        <w:left w:val="none" w:sz="0" w:space="0" w:color="auto"/>
        <w:bottom w:val="none" w:sz="0" w:space="0" w:color="auto"/>
        <w:right w:val="none" w:sz="0" w:space="0" w:color="auto"/>
      </w:divBdr>
    </w:div>
    <w:div w:id="1283340867">
      <w:bodyDiv w:val="1"/>
      <w:marLeft w:val="0"/>
      <w:marRight w:val="0"/>
      <w:marTop w:val="0"/>
      <w:marBottom w:val="0"/>
      <w:divBdr>
        <w:top w:val="none" w:sz="0" w:space="0" w:color="auto"/>
        <w:left w:val="none" w:sz="0" w:space="0" w:color="auto"/>
        <w:bottom w:val="none" w:sz="0" w:space="0" w:color="auto"/>
        <w:right w:val="none" w:sz="0" w:space="0" w:color="auto"/>
      </w:divBdr>
    </w:div>
    <w:div w:id="1580747033">
      <w:bodyDiv w:val="1"/>
      <w:marLeft w:val="0"/>
      <w:marRight w:val="0"/>
      <w:marTop w:val="0"/>
      <w:marBottom w:val="0"/>
      <w:divBdr>
        <w:top w:val="none" w:sz="0" w:space="0" w:color="auto"/>
        <w:left w:val="none" w:sz="0" w:space="0" w:color="auto"/>
        <w:bottom w:val="none" w:sz="0" w:space="0" w:color="auto"/>
        <w:right w:val="none" w:sz="0" w:space="0" w:color="auto"/>
      </w:divBdr>
    </w:div>
    <w:div w:id="1790279063">
      <w:bodyDiv w:val="1"/>
      <w:marLeft w:val="0"/>
      <w:marRight w:val="0"/>
      <w:marTop w:val="0"/>
      <w:marBottom w:val="0"/>
      <w:divBdr>
        <w:top w:val="none" w:sz="0" w:space="0" w:color="auto"/>
        <w:left w:val="none" w:sz="0" w:space="0" w:color="auto"/>
        <w:bottom w:val="none" w:sz="0" w:space="0" w:color="auto"/>
        <w:right w:val="none" w:sz="0" w:space="0" w:color="auto"/>
      </w:divBdr>
    </w:div>
    <w:div w:id="201112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iwheel.com/work/bibliography/511646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iwheel.com/work/bibliography/9701515" TargetMode="External"/><Relationship Id="rId12" Type="http://schemas.openxmlformats.org/officeDocument/2006/relationships/hyperlink" Target="https://sciwheel.com/work/bibliography/75164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iwheel.com/work/bibliography/2261235" TargetMode="External"/><Relationship Id="rId11" Type="http://schemas.openxmlformats.org/officeDocument/2006/relationships/hyperlink" Target="https://sciwheel.com/work/bibliography/11725975" TargetMode="External"/><Relationship Id="rId5" Type="http://schemas.openxmlformats.org/officeDocument/2006/relationships/hyperlink" Target="https://documentcloud.adobe.com/link/track?uri=urn:aaid:scds:US:26fce90d-8851-469a-9fbe-ce7da5d59470" TargetMode="External"/><Relationship Id="rId10" Type="http://schemas.openxmlformats.org/officeDocument/2006/relationships/hyperlink" Target="https://sciwheel.com/work/bibliography/3239478" TargetMode="External"/><Relationship Id="rId4" Type="http://schemas.openxmlformats.org/officeDocument/2006/relationships/webSettings" Target="webSettings.xml"/><Relationship Id="rId9" Type="http://schemas.openxmlformats.org/officeDocument/2006/relationships/hyperlink" Target="https://sciwheel.com/work/bibliography/842207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12</Pages>
  <Words>5352</Words>
  <Characters>30511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Dou, Rebecca</cp:lastModifiedBy>
  <cp:revision>11</cp:revision>
  <dcterms:created xsi:type="dcterms:W3CDTF">2021-11-30T20:19:00Z</dcterms:created>
  <dcterms:modified xsi:type="dcterms:W3CDTF">2021-12-01T08:50:00Z</dcterms:modified>
</cp:coreProperties>
</file>